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ascii="仿宋" w:eastAsia="仿宋" w:cs="Times New Roman"/>
          <w:b/>
          <w:bCs/>
          <w:kern w:val="0"/>
          <w:sz w:val="44"/>
          <w:szCs w:val="44"/>
        </w:rPr>
      </w:pPr>
      <w:r>
        <w:rPr>
          <w:rFonts w:hint="eastAsia" w:ascii="仿宋"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秦审批环准许</w:t>
      </w:r>
      <w:bookmarkStart w:id="0" w:name="_GoBack"/>
      <w:bookmarkEnd w:id="0"/>
      <w:r>
        <w:rPr>
          <w:rFonts w:hint="eastAsia" w:ascii="仿宋_GB2312" w:hAnsi="仿宋_GB2312" w:eastAsia="仿宋_GB2312" w:cs="仿宋_GB2312"/>
          <w:color w:val="auto"/>
          <w:sz w:val="32"/>
          <w:szCs w:val="32"/>
        </w:rPr>
        <w:t>〔202</w:t>
      </w:r>
      <w:r>
        <w:rPr>
          <w:rFonts w:hint="default"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lang w:val="en-US" w:eastAsia="zh-CN"/>
        </w:rPr>
        <w:t>25</w:t>
      </w:r>
      <w:r>
        <w:rPr>
          <w:rFonts w:hint="eastAsia" w:ascii="Times New Roman" w:hAnsi="Times New Roman" w:eastAsia="仿宋_GB2312" w:cs="仿宋_GB2312"/>
          <w:color w:val="auto"/>
          <w:sz w:val="32"/>
          <w:szCs w:val="32"/>
        </w:rPr>
        <w:t>号</w:t>
      </w:r>
    </w:p>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b w:val="0"/>
          <w:bCs w:val="0"/>
          <w:kern w:val="44"/>
          <w:sz w:val="44"/>
          <w:szCs w:val="44"/>
          <w:lang w:eastAsia="zh-CN"/>
        </w:rPr>
      </w:pPr>
      <w:r>
        <w:rPr>
          <w:rFonts w:hint="eastAsia" w:ascii="方正小标宋_GBK" w:hAnsi="方正小标宋_GBK" w:eastAsia="方正小标宋_GBK" w:cs="方正小标宋_GBK"/>
          <w:b w:val="0"/>
          <w:bCs w:val="0"/>
          <w:kern w:val="44"/>
          <w:sz w:val="44"/>
          <w:szCs w:val="44"/>
        </w:rPr>
        <w:t>关于</w:t>
      </w:r>
      <w:r>
        <w:rPr>
          <w:rFonts w:hint="eastAsia" w:ascii="方正小标宋_GBK" w:hAnsi="方正小标宋_GBK" w:eastAsia="方正小标宋_GBK" w:cs="方正小标宋_GBK"/>
          <w:b w:val="0"/>
          <w:bCs w:val="0"/>
          <w:kern w:val="44"/>
          <w:sz w:val="44"/>
          <w:szCs w:val="44"/>
          <w:lang w:eastAsia="zh-CN"/>
        </w:rPr>
        <w:t>《秦皇岛蓝创环保科技有限公司</w:t>
      </w:r>
    </w:p>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b w:val="0"/>
          <w:bCs w:val="0"/>
          <w:kern w:val="44"/>
          <w:sz w:val="44"/>
          <w:szCs w:val="44"/>
        </w:rPr>
      </w:pPr>
      <w:r>
        <w:rPr>
          <w:rFonts w:hint="eastAsia" w:ascii="方正小标宋_GBK" w:hAnsi="方正小标宋_GBK" w:eastAsia="方正小标宋_GBK" w:cs="方正小标宋_GBK"/>
          <w:b w:val="0"/>
          <w:bCs w:val="0"/>
          <w:kern w:val="44"/>
          <w:sz w:val="44"/>
          <w:szCs w:val="44"/>
          <w:lang w:eastAsia="zh-CN"/>
        </w:rPr>
        <w:t>昌黎县朱各庄镇50MW风力发电项目</w:t>
      </w:r>
      <w:r>
        <w:rPr>
          <w:rFonts w:hint="eastAsia" w:ascii="方正小标宋_GBK" w:hAnsi="方正小标宋_GBK" w:eastAsia="方正小标宋_GBK" w:cs="方正小标宋_GBK"/>
          <w:b w:val="0"/>
          <w:bCs w:val="0"/>
          <w:kern w:val="44"/>
          <w:sz w:val="44"/>
          <w:szCs w:val="44"/>
        </w:rPr>
        <w:t>环境影响报告表</w:t>
      </w:r>
      <w:r>
        <w:rPr>
          <w:rFonts w:hint="eastAsia" w:ascii="方正小标宋_GBK" w:hAnsi="方正小标宋_GBK" w:eastAsia="方正小标宋_GBK" w:cs="方正小标宋_GBK"/>
          <w:b w:val="0"/>
          <w:bCs w:val="0"/>
          <w:kern w:val="44"/>
          <w:sz w:val="44"/>
          <w:szCs w:val="44"/>
          <w:lang w:eastAsia="zh-CN"/>
        </w:rPr>
        <w:t>》</w:t>
      </w:r>
      <w:r>
        <w:rPr>
          <w:rFonts w:hint="eastAsia" w:ascii="方正小标宋_GBK" w:hAnsi="方正小标宋_GBK" w:eastAsia="方正小标宋_GBK" w:cs="方正小标宋_GBK"/>
          <w:b w:val="0"/>
          <w:bCs w:val="0"/>
          <w:kern w:val="44"/>
          <w:sz w:val="44"/>
          <w:szCs w:val="44"/>
        </w:rPr>
        <w:t>的批复</w:t>
      </w:r>
    </w:p>
    <w:p>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ascii="仿宋" w:eastAsia="仿宋" w:cs="Times New Roman"/>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380" w:lineRule="exact"/>
        <w:ind w:left="0" w:right="0"/>
        <w:textAlignment w:val="auto"/>
        <w:rPr>
          <w:rFonts w:hint="eastAsia" w:ascii="仿宋_GB2312" w:eastAsia="仿宋_GB2312" w:cs="仿宋_GB2312"/>
          <w:sz w:val="32"/>
          <w:szCs w:val="32"/>
        </w:rPr>
      </w:pPr>
      <w:r>
        <w:rPr>
          <w:rFonts w:hint="eastAsia" w:ascii="Times New Roman" w:hAnsi="Times New Roman" w:eastAsia="仿宋" w:cs="Times New Roman"/>
          <w:sz w:val="32"/>
          <w:szCs w:val="32"/>
          <w:highlight w:val="none"/>
          <w:lang w:eastAsia="zh-CN"/>
        </w:rPr>
        <w:t>秦皇岛蓝创环保科技有限公司</w:t>
      </w:r>
      <w:r>
        <w:rPr>
          <w:rFonts w:hint="eastAsia" w:asci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b/>
          <w:bCs/>
          <w:color w:val="000000"/>
          <w:kern w:val="0"/>
          <w:sz w:val="32"/>
          <w:szCs w:val="32"/>
        </w:rPr>
      </w:pPr>
      <w:r>
        <w:rPr>
          <w:rFonts w:hint="eastAsia" w:ascii="仿宋_GB2312" w:eastAsia="仿宋_GB2312" w:cs="仿宋_GB2312"/>
          <w:color w:val="000000"/>
          <w:kern w:val="0"/>
          <w:sz w:val="32"/>
          <w:szCs w:val="32"/>
        </w:rPr>
        <w:t>所</w:t>
      </w:r>
      <w:r>
        <w:rPr>
          <w:rFonts w:hint="eastAsia" w:ascii="仿宋_GB2312" w:eastAsia="仿宋_GB2312" w:cs="仿宋_GB2312"/>
          <w:sz w:val="32"/>
          <w:szCs w:val="32"/>
        </w:rPr>
        <w:t>报</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秦皇岛蓝创环保科技有限公司昌黎县朱各庄镇50MW风力发电项目</w:t>
      </w:r>
      <w:r>
        <w:rPr>
          <w:rFonts w:hint="eastAsia" w:ascii="仿宋_GB2312" w:eastAsia="仿宋_GB2312" w:cs="仿宋_GB2312"/>
          <w:color w:val="auto"/>
          <w:kern w:val="0"/>
          <w:sz w:val="32"/>
          <w:szCs w:val="32"/>
        </w:rPr>
        <w:t>环境影响报告表》（以下简称《报告表》）审批申请及相关材料</w:t>
      </w:r>
      <w:r>
        <w:rPr>
          <w:rFonts w:hint="eastAsia" w:ascii="仿宋_GB2312" w:eastAsia="仿宋_GB2312" w:cs="仿宋_GB2312"/>
          <w:color w:val="000000"/>
          <w:kern w:val="0"/>
          <w:sz w:val="32"/>
          <w:szCs w:val="32"/>
        </w:rPr>
        <w:t>收悉。</w:t>
      </w:r>
      <w:r>
        <w:rPr>
          <w:rFonts w:hint="eastAsia" w:ascii="仿宋_GB2312" w:eastAsia="仿宋_GB2312" w:cs="仿宋_GB2312"/>
          <w:color w:val="auto"/>
          <w:sz w:val="32"/>
          <w:szCs w:val="32"/>
        </w:rPr>
        <w:t>结合</w:t>
      </w:r>
      <w:r>
        <w:rPr>
          <w:rFonts w:hint="eastAsia" w:ascii="仿宋_GB2312" w:eastAsia="仿宋_GB2312" w:cs="仿宋_GB2312"/>
          <w:color w:val="auto"/>
          <w:kern w:val="0"/>
          <w:sz w:val="32"/>
          <w:szCs w:val="32"/>
          <w:lang w:val="en-US" w:eastAsia="zh-CN"/>
        </w:rPr>
        <w:t>环境影响</w:t>
      </w:r>
      <w:r>
        <w:rPr>
          <w:rFonts w:hint="eastAsia" w:ascii="仿宋_GB2312" w:eastAsia="仿宋_GB2312" w:cs="仿宋_GB2312"/>
          <w:color w:val="auto"/>
          <w:kern w:val="0"/>
          <w:sz w:val="32"/>
          <w:szCs w:val="32"/>
        </w:rPr>
        <w:t>报告</w:t>
      </w:r>
      <w:r>
        <w:rPr>
          <w:rFonts w:hint="eastAsia" w:ascii="仿宋_GB2312" w:eastAsia="仿宋_GB2312" w:cs="仿宋_GB2312"/>
          <w:color w:val="auto"/>
          <w:kern w:val="0"/>
          <w:sz w:val="32"/>
          <w:szCs w:val="32"/>
          <w:lang w:val="en-US" w:eastAsia="zh-CN"/>
        </w:rPr>
        <w:t>表</w:t>
      </w:r>
      <w:r>
        <w:rPr>
          <w:rFonts w:hint="eastAsia" w:ascii="仿宋_GB2312" w:eastAsia="仿宋_GB2312" w:cs="仿宋_GB2312"/>
          <w:color w:val="auto"/>
          <w:kern w:val="0"/>
          <w:sz w:val="32"/>
          <w:szCs w:val="32"/>
        </w:rPr>
        <w:t>结论、专家</w:t>
      </w:r>
      <w:r>
        <w:rPr>
          <w:rFonts w:hint="eastAsia" w:ascii="仿宋_GB2312" w:eastAsia="仿宋_GB2312" w:cs="仿宋_GB2312"/>
          <w:color w:val="auto"/>
          <w:kern w:val="0"/>
          <w:sz w:val="32"/>
          <w:szCs w:val="32"/>
          <w:lang w:eastAsia="zh-CN"/>
        </w:rPr>
        <w:t>评审</w:t>
      </w:r>
      <w:r>
        <w:rPr>
          <w:rFonts w:hint="eastAsia" w:ascii="仿宋_GB2312" w:eastAsia="仿宋_GB2312" w:cs="仿宋_GB2312"/>
          <w:color w:val="auto"/>
          <w:kern w:val="0"/>
          <w:sz w:val="32"/>
          <w:szCs w:val="32"/>
        </w:rPr>
        <w:t>意见</w:t>
      </w:r>
      <w:r>
        <w:rPr>
          <w:rFonts w:hint="eastAsia" w:ascii="仿宋_GB2312" w:eastAsia="仿宋_GB2312" w:cs="仿宋_GB2312"/>
          <w:color w:val="auto"/>
          <w:kern w:val="0"/>
          <w:sz w:val="32"/>
          <w:szCs w:val="32"/>
          <w:lang w:val="en-US" w:eastAsia="zh-CN"/>
        </w:rPr>
        <w:t>、项目</w:t>
      </w:r>
      <w:r>
        <w:rPr>
          <w:rFonts w:hint="eastAsia" w:ascii="仿宋_GB2312" w:eastAsia="仿宋_GB2312" w:cs="仿宋_GB2312"/>
          <w:color w:val="auto"/>
          <w:kern w:val="0"/>
          <w:sz w:val="32"/>
          <w:szCs w:val="32"/>
        </w:rPr>
        <w:t>环境影响特点及</w:t>
      </w:r>
      <w:r>
        <w:rPr>
          <w:rFonts w:hint="eastAsia" w:ascii="仿宋_GB2312" w:eastAsia="仿宋_GB2312" w:cs="仿宋_GB2312"/>
          <w:color w:val="auto"/>
          <w:kern w:val="0"/>
          <w:sz w:val="32"/>
          <w:szCs w:val="32"/>
          <w:lang w:val="en-US" w:eastAsia="zh-CN"/>
        </w:rPr>
        <w:t>公示反馈等方面情况</w:t>
      </w:r>
      <w:r>
        <w:rPr>
          <w:rFonts w:hint="eastAsia" w:ascii="仿宋_GB2312" w:eastAsia="仿宋_GB2312" w:cs="仿宋_GB2312"/>
          <w:color w:val="auto"/>
          <w:kern w:val="0"/>
          <w:sz w:val="32"/>
          <w:szCs w:val="32"/>
        </w:rPr>
        <w:t xml:space="preserve">，经研究，现批复如下： </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firstLineChars="200"/>
        <w:textAlignment w:val="auto"/>
        <w:rPr>
          <w:rFonts w:hint="eastAsia"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eastAsia="zh-CN"/>
        </w:rPr>
        <w:t>一</w:t>
      </w:r>
      <w:r>
        <w:rPr>
          <w:rFonts w:hint="eastAsia" w:ascii="仿宋_GB2312" w:eastAsia="仿宋_GB2312" w:cs="仿宋_GB2312"/>
          <w:color w:val="000000"/>
          <w:kern w:val="0"/>
          <w:sz w:val="32"/>
          <w:szCs w:val="32"/>
          <w:lang w:val="en-US" w:eastAsia="zh-CN"/>
        </w:rPr>
        <w:t>.</w:t>
      </w:r>
      <w:r>
        <w:rPr>
          <w:rFonts w:hint="eastAsia" w:ascii="仿宋_GB2312" w:eastAsia="仿宋_GB2312" w:cs="仿宋_GB2312"/>
          <w:color w:val="000000"/>
          <w:kern w:val="0"/>
          <w:sz w:val="32"/>
          <w:szCs w:val="32"/>
        </w:rPr>
        <w:t>项目建设内容和总体要求。</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秦皇岛蓝创环保科技有限公司昌黎县朱各庄镇50MW风力发电项目</w:t>
      </w:r>
      <w:r>
        <w:rPr>
          <w:rFonts w:hint="eastAsia" w:ascii="Times New Roman" w:hAnsi="Times New Roman" w:eastAsia="仿宋" w:cs="Times New Roman"/>
          <w:sz w:val="32"/>
          <w:szCs w:val="32"/>
          <w:lang w:val="en-US" w:eastAsia="zh-CN"/>
        </w:rPr>
        <w:t>为新建并网型绿电直连项目，</w:t>
      </w:r>
      <w:r>
        <w:rPr>
          <w:rFonts w:hint="eastAsia" w:ascii="Times New Roman" w:hAnsi="Times New Roman" w:eastAsia="仿宋" w:cs="Times New Roman"/>
          <w:sz w:val="32"/>
          <w:szCs w:val="32"/>
          <w:lang w:eastAsia="zh-CN"/>
        </w:rPr>
        <w:t>位于秦皇岛市昌黎县朱各庄镇坎上村、下庄村。项目区域道路</w:t>
      </w:r>
      <w:r>
        <w:rPr>
          <w:rFonts w:hint="eastAsia" w:ascii="Times New Roman" w:hAnsi="Times New Roman" w:eastAsia="仿宋" w:cs="Times New Roman"/>
          <w:sz w:val="32"/>
          <w:szCs w:val="32"/>
          <w:lang w:val="en-US" w:eastAsia="zh-CN"/>
        </w:rPr>
        <w:t>设施完善</w:t>
      </w:r>
      <w:r>
        <w:rPr>
          <w:rFonts w:hint="eastAsia" w:ascii="Times New Roman" w:hAnsi="Times New Roman" w:eastAsia="仿宋" w:cs="Times New Roman"/>
          <w:sz w:val="32"/>
          <w:szCs w:val="32"/>
          <w:lang w:eastAsia="zh-CN"/>
        </w:rPr>
        <w:t>，风机、箱变基础、风机安装场地、道路、集电线路占地类型均为农用地，施工临时占地类型为农用地。该项目选址不涉及自然保护区、世界文化和自然遗产地、风景名胜区、森林公园、地质公园、重要湿地、原始天然林、珍稀濒危野生动植物天然级重要分布区、重要水生生物自然产卵场及索饵场、越冬场和洄游通道、天然渔场、海洋特别保护区等敏感区，且各风电机组周边500m范围内无村庄，道路及集电线路施工占地范围内，不涉及村庄，不存在环境制约因素。厂址选择符合《风电场厂址选择技术规定》中环境保护要求，风电场选址可行。该项目道路充分利用现有S3800秦津高速、SL83省道、宏兴路、146乡道、其它现有乡村道路等，对地表及植被的扰动和损坏较小，对环境影响较小，道路选线合理。项目集电线路不跨越和穿越村庄、学校、乡镇等敏感目标，不占用生态保护红线。施工工程</w:t>
      </w:r>
      <w:r>
        <w:rPr>
          <w:rFonts w:hint="default" w:ascii="Times New Roman" w:hAnsi="Times New Roman" w:eastAsia="仿宋" w:cs="Times New Roman"/>
          <w:sz w:val="32"/>
          <w:szCs w:val="32"/>
        </w:rPr>
        <w:t>集电线路的路径总长度为7.9km，采用电缆直埋和架空相结合的形式</w:t>
      </w:r>
      <w:r>
        <w:rPr>
          <w:rFonts w:hint="eastAsia" w:ascii="Times New Roman" w:hAnsi="Times New Roman" w:eastAsia="仿宋" w:cs="Times New Roman"/>
          <w:sz w:val="32"/>
          <w:szCs w:val="32"/>
          <w:lang w:eastAsia="zh-CN"/>
        </w:rPr>
        <w:t>。电缆敷设沟底铺设细砂或筛土，且全长以砖</w:t>
      </w:r>
      <w:r>
        <w:rPr>
          <w:rFonts w:hint="eastAsia" w:ascii="Times New Roman" w:hAnsi="Times New Roman" w:eastAsia="仿宋" w:cs="Times New Roman"/>
          <w:sz w:val="32"/>
          <w:szCs w:val="32"/>
          <w:lang w:val="en-US" w:eastAsia="zh-CN"/>
        </w:rPr>
        <w:t>混</w:t>
      </w:r>
      <w:r>
        <w:rPr>
          <w:rFonts w:hint="eastAsia" w:ascii="Times New Roman" w:hAnsi="Times New Roman" w:eastAsia="仿宋" w:cs="Times New Roman"/>
          <w:sz w:val="32"/>
          <w:szCs w:val="32"/>
          <w:lang w:eastAsia="zh-CN"/>
        </w:rPr>
        <w:t>水泥板遮盖；架空线路对地表的影响可接受。集电线路按照边剥离、边开挖、边敷设、边回填的原则，先剥离表土再进行开挖，表土及回填土堆放与沟槽两侧并进行临时防护，待完成电缆铺设后立即回填堆土及表土并实施绿化措施，可有效控制水土流失，此外，集电线路环境影响范围不涉及村庄，集电线路路径合理。</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该项目废气、废水、噪声、固体废物均采取相应措施，不会对区域环境空气、周边水环境、附近敏感点声环境等产生明显不利影响，固废均得到妥善处置，最大光影范围内无村庄、学校等敏感目标。</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sz w:val="32"/>
          <w:szCs w:val="32"/>
          <w:lang w:val="en-US" w:eastAsia="zh-CN"/>
        </w:rPr>
        <w:t>依据河北省生态环境厅《加强全省重要生态空间开发建设的管控意见》（冀环环评函〔2019〕385号）中要求：在重要的生态功能区和“四区一线”（水源保护区、自然保护区、风景名胜区、湿地公园、生态红线）区域，严禁违规建设别墅类和高尔夫球场等，严禁破坏生态环境功能、侵占生态红线的开发建设活动。该项目风电风机选址及建设不涉及上述</w:t>
      </w:r>
      <w:r>
        <w:rPr>
          <w:rFonts w:hint="eastAsia" w:ascii="Times New Roman" w:hAnsi="Times New Roman" w:eastAsia="仿宋" w:cs="Times New Roman"/>
          <w:color w:val="auto"/>
          <w:sz w:val="32"/>
          <w:szCs w:val="32"/>
          <w:highlight w:val="none"/>
          <w:lang w:val="en-US" w:eastAsia="zh-CN"/>
        </w:rPr>
        <w:t>区域。</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综上，从环境敏感性考虑，该项目选址可行。</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建设</w:t>
      </w:r>
      <w:r>
        <w:rPr>
          <w:rFonts w:hint="default" w:ascii="Times New Roman" w:hAnsi="Times New Roman" w:eastAsia="仿宋" w:cs="Times New Roman"/>
          <w:color w:val="auto"/>
          <w:sz w:val="32"/>
          <w:szCs w:val="32"/>
          <w:highlight w:val="none"/>
          <w:lang w:val="en-US" w:eastAsia="zh-CN"/>
        </w:rPr>
        <w:t>规模及</w:t>
      </w:r>
      <w:r>
        <w:rPr>
          <w:rFonts w:hint="eastAsia" w:ascii="Times New Roman" w:hAnsi="Times New Roman" w:eastAsia="仿宋" w:cs="Times New Roman"/>
          <w:color w:val="auto"/>
          <w:sz w:val="32"/>
          <w:szCs w:val="32"/>
          <w:highlight w:val="none"/>
          <w:lang w:val="en-US" w:eastAsia="zh-CN"/>
        </w:rPr>
        <w:t>内容：拟建设风力发电场一座，装机总容量50MW，安装8台单机容量6.25MW风电机组及箱变配套设施，年发电量约10500万kWh。不新建升压站，集电线路约7.9km，接入到秦皇岛蓝凯新能源有限公司昌黎县朱各庄镇43.75MW风力发电项目110kV升压站。项目采用模块化设计、集中并网的设计方案，由逆变器交流输出</w:t>
      </w:r>
      <w:r>
        <w:rPr>
          <w:rFonts w:hint="default" w:ascii="Times New Roman" w:hAnsi="Times New Roman" w:eastAsia="仿宋" w:cs="Times New Roman"/>
          <w:color w:val="auto"/>
          <w:sz w:val="32"/>
          <w:szCs w:val="32"/>
          <w:highlight w:val="none"/>
          <w:lang w:val="en-US" w:eastAsia="zh-CN"/>
        </w:rPr>
        <w:t>1.14kV</w:t>
      </w:r>
      <w:r>
        <w:rPr>
          <w:rFonts w:hint="eastAsia" w:ascii="Times New Roman" w:hAnsi="Times New Roman" w:eastAsia="仿宋" w:cs="Times New Roman"/>
          <w:color w:val="auto"/>
          <w:sz w:val="32"/>
          <w:szCs w:val="32"/>
          <w:highlight w:val="none"/>
          <w:u w:val="single"/>
          <w:vertAlign w:val="superscript"/>
          <w:lang w:eastAsia="zh-CN"/>
        </w:rPr>
        <w:t>升压</w:t>
      </w:r>
      <w:r>
        <w:rPr>
          <w:rFonts w:hint="default" w:ascii="Times New Roman" w:hAnsi="Times New Roman" w:eastAsia="仿宋" w:cs="Times New Roman"/>
          <w:color w:val="auto"/>
          <w:sz w:val="32"/>
          <w:szCs w:val="32"/>
          <w:highlight w:val="none"/>
        </w:rPr>
        <w:t>35kV</w:t>
      </w:r>
      <w:r>
        <w:rPr>
          <w:rFonts w:hint="eastAsia" w:ascii="Times New Roman" w:hAnsi="Times New Roman" w:eastAsia="仿宋" w:cs="Times New Roman"/>
          <w:color w:val="auto"/>
          <w:sz w:val="32"/>
          <w:szCs w:val="32"/>
          <w:highlight w:val="none"/>
          <w:u w:val="single"/>
          <w:vertAlign w:val="superscript"/>
          <w:lang w:eastAsia="zh-CN"/>
        </w:rPr>
        <w:t>升压</w:t>
      </w:r>
      <w:r>
        <w:rPr>
          <w:rFonts w:hint="default" w:ascii="Times New Roman" w:hAnsi="Times New Roman" w:eastAsia="仿宋" w:cs="Times New Roman"/>
          <w:color w:val="auto"/>
          <w:sz w:val="32"/>
          <w:szCs w:val="32"/>
          <w:highlight w:val="none"/>
          <w:lang w:val="en-US" w:eastAsia="zh-CN"/>
        </w:rPr>
        <w:t>110kV</w:t>
      </w:r>
      <w:r>
        <w:rPr>
          <w:rFonts w:hint="eastAsia" w:ascii="Times New Roman" w:hAnsi="Times New Roman" w:eastAsia="仿宋" w:cs="Times New Roman"/>
          <w:color w:val="auto"/>
          <w:sz w:val="32"/>
          <w:szCs w:val="32"/>
          <w:highlight w:val="none"/>
          <w:lang w:val="en-US" w:eastAsia="zh-CN"/>
        </w:rPr>
        <w:t>两级升压的方式实现风能交流输出。项目总占地面积为0.4144公顷，其中风机及箱变基础占地面积为0.4144公顷。该项目与秦皇岛蓝凯新能源有限公司昌黎县朱各庄镇43.75MW风力发电项目、秦皇岛宏腾科技有限公司昌黎县68.75MW并网型绿电直连风力发电项目共用储能站（储能站容量8MW/16MW</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h，秦皇岛蓝凯新能源有限公司负责建设）。该项目总投资约20000万元，其中环保投资约200万元，环保投资占工程总投资的1%。</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该项目不属于《产业结构调整指导目录》（2024年本）鼓励类、限制类和淘汰类项目，为允许类项目；不属于《市场准入负面清单（2025年版）》中的禁止准入事项；也不属于《环境保护综合名录（2021年版）》、河北省发展和改革委员会《关于加强新建“两高”项目管理的通知》（冀发改环资〔2022〕691号）中两高项目；不属于《全国落后生产工艺装备淘汰目录清单》（2024年）中工艺和装备；符合《河北省“十四五”可再生能源发展规划》、《河北省风电光伏发电资源规划》、《秦皇岛市“十四五”能源发展规划》、《秦皇岛市可再生能源发展“十四五”规划》等政策要求。</w:t>
      </w:r>
    </w:p>
    <w:p>
      <w:pPr>
        <w:pStyle w:val="9"/>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该项目属于河北省发展和改革委员会《关于下达河北省2025年绿电直连项目的通知》（冀发改能源〔2025〕1454号）中的绿电直连项目。并于2026年3月取得秦皇岛市行政审批局核准变更批复（秦审批投〔2026〕07-0018号）。</w:t>
      </w:r>
    </w:p>
    <w:p>
      <w:pPr>
        <w:pStyle w:val="9"/>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综上，该项目符合国家及地方产业政策要求。</w:t>
      </w:r>
    </w:p>
    <w:p>
      <w:pPr>
        <w:pStyle w:val="9"/>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该项目符合《关于支持风电开发建设规范使用林地草地有关工作的通知》（林资发〔2026〕1号）、《风电场工程场址选择技术规范》（NB/T 10639-2021）、《“十四五”现代能源体系规划》、《“十四五”可再生能源发展规划》、《河北省新能源发展促进条例》、《秦皇岛市生态环境保护专项规划（2021－2035年）》、《河北省生态环境厅办公室关于进一步做好沙区建设项目环境影响评价工作的通知》（冀环办字函〔2023〕326号）、《关于促进退役风电、光伏设备循环利用的指导意见（发改环资》〔2023〕1030号）、《国家林业和草原局关于规范风电场项目建设使用林地的通知》（林资发〔2019〕17号）等相关要求。</w:t>
      </w:r>
    </w:p>
    <w:p>
      <w:pPr>
        <w:pStyle w:val="9"/>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昌黎县朱各庄镇</w:t>
      </w:r>
      <w:r>
        <w:rPr>
          <w:rFonts w:hint="eastAsia" w:ascii="Times New Roman" w:hAnsi="Times New Roman" w:eastAsia="仿宋" w:cs="Times New Roman"/>
          <w:color w:val="auto"/>
          <w:kern w:val="2"/>
          <w:sz w:val="32"/>
          <w:szCs w:val="32"/>
          <w:highlight w:val="none"/>
          <w:lang w:val="en-US" w:eastAsia="zh-CN" w:bidi="ar-SA"/>
        </w:rPr>
        <w:t>50MW风力发电项目选址未占用生态保护红线区，满足区域环境质量底线要求、资源利用上线等要求。依据《秦皇岛市人民政府办公室关于实施生态环境分区管控动态更新成果的通知》，《报告表》从生态空间、大气环境总体管控、地表</w:t>
      </w:r>
      <w:r>
        <w:rPr>
          <w:rFonts w:hint="eastAsia" w:ascii="Times New Roman" w:hAnsi="Times New Roman" w:eastAsia="仿宋" w:cs="Times New Roman"/>
          <w:color w:val="auto"/>
          <w:sz w:val="32"/>
          <w:szCs w:val="32"/>
          <w:highlight w:val="none"/>
          <w:lang w:val="en-US" w:eastAsia="zh-CN"/>
        </w:rPr>
        <w:t>水环境总体管控、土壤及地下水风险防控、产业布局等方面论述分析，符合《秦皇岛市人民政府办公室关于实施生态环境分区管控动态更新成果的通知》等文件要求。</w:t>
      </w:r>
    </w:p>
    <w:p>
      <w:pPr>
        <w:pStyle w:val="9"/>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_GB2312" w:eastAsia="仿宋_GB2312" w:cs="仿宋_GB2312"/>
          <w:color w:val="000000"/>
          <w:kern w:val="0"/>
          <w:sz w:val="32"/>
          <w:szCs w:val="32"/>
        </w:rPr>
      </w:pPr>
      <w:r>
        <w:rPr>
          <w:rFonts w:hint="eastAsia" w:ascii="Times New Roman" w:hAnsi="Times New Roman" w:eastAsia="仿宋" w:cs="Times New Roman"/>
          <w:color w:val="auto"/>
          <w:sz w:val="32"/>
          <w:szCs w:val="32"/>
          <w:highlight w:val="none"/>
          <w:lang w:val="en-US" w:eastAsia="zh-CN"/>
        </w:rPr>
        <w:t>该《报告表》已通过河北超泰环保科技有限公司评估，结合评估意见（超泰环评［2026］049号）及公</w:t>
      </w:r>
      <w:r>
        <w:rPr>
          <w:rFonts w:hint="eastAsia" w:ascii="Times New Roman" w:hAnsi="Times New Roman" w:eastAsia="仿宋" w:cs="Times New Roman"/>
          <w:color w:val="auto"/>
          <w:kern w:val="2"/>
          <w:sz w:val="32"/>
          <w:szCs w:val="32"/>
          <w:highlight w:val="none"/>
          <w:lang w:val="en-US" w:eastAsia="zh-CN" w:bidi="ar-SA"/>
        </w:rPr>
        <w:t>示反馈</w:t>
      </w:r>
      <w:r>
        <w:rPr>
          <w:rFonts w:hint="eastAsia" w:ascii="仿宋_GB2312" w:hAnsi="仿宋_GB2312" w:eastAsia="仿宋_GB2312" w:cs="仿宋_GB2312"/>
          <w:color w:val="000000"/>
          <w:kern w:val="0"/>
          <w:sz w:val="32"/>
          <w:szCs w:val="32"/>
        </w:rPr>
        <w:t>情况，结合各方面专家意见及</w:t>
      </w:r>
      <w:r>
        <w:rPr>
          <w:rFonts w:hint="eastAsia" w:ascii="仿宋_GB2312" w:hAnsi="仿宋_GB2312" w:eastAsia="仿宋_GB2312" w:cs="仿宋_GB2312"/>
          <w:color w:val="000000"/>
          <w:kern w:val="0"/>
          <w:sz w:val="32"/>
          <w:szCs w:val="32"/>
          <w:lang w:eastAsia="zh-CN"/>
        </w:rPr>
        <w:t>该</w:t>
      </w: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eastAsia="zh-CN"/>
        </w:rPr>
        <w:t>公众参与调查情况及其</w:t>
      </w:r>
      <w:r>
        <w:rPr>
          <w:rFonts w:hint="eastAsia" w:ascii="仿宋_GB2312" w:hAnsi="仿宋_GB2312" w:eastAsia="仿宋_GB2312" w:cs="仿宋_GB2312"/>
          <w:color w:val="000000"/>
          <w:kern w:val="0"/>
          <w:sz w:val="32"/>
          <w:szCs w:val="32"/>
        </w:rPr>
        <w:t>公示反馈情况</w:t>
      </w:r>
      <w:r>
        <w:rPr>
          <w:rFonts w:hint="eastAsia" w:ascii="仿宋_GB2312" w:eastAsia="仿宋_GB2312" w:cs="仿宋_GB2312"/>
          <w:color w:val="000000"/>
          <w:kern w:val="0"/>
          <w:sz w:val="32"/>
          <w:szCs w:val="32"/>
        </w:rPr>
        <w:t>，在项目符合国家和地方产业政策，选址符合用地规划及环境保护功能区划以及全面落实环境影响报告表提出的各项污染防治措施后，工程建设对环境的不利影响能够得到减缓和控制。我局原则同意环境影响报告表中所列建设项目的地点、性质、规模、工艺和拟采取的环境保护措施。</w:t>
      </w:r>
    </w:p>
    <w:p>
      <w:pPr>
        <w:keepNext w:val="0"/>
        <w:keepLines w:val="0"/>
        <w:pageBreakBefore w:val="0"/>
        <w:widowControl/>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二</w:t>
      </w:r>
      <w:r>
        <w:rPr>
          <w:rFonts w:hint="eastAsia" w:ascii="仿宋_GB2312" w:eastAsia="仿宋_GB2312" w:cs="仿宋_GB2312"/>
          <w:color w:val="000000"/>
          <w:kern w:val="0"/>
          <w:sz w:val="32"/>
          <w:szCs w:val="32"/>
          <w:lang w:val="en-US" w:eastAsia="zh-CN"/>
        </w:rPr>
        <w:t>.</w:t>
      </w:r>
      <w:r>
        <w:rPr>
          <w:rFonts w:hint="eastAsia" w:ascii="仿宋_GB2312" w:eastAsia="仿宋_GB2312" w:cs="仿宋_GB2312"/>
          <w:color w:val="000000"/>
          <w:kern w:val="0"/>
          <w:sz w:val="32"/>
          <w:szCs w:val="32"/>
          <w:lang w:eastAsia="zh-CN"/>
        </w:rPr>
        <w:t>该</w:t>
      </w:r>
      <w:r>
        <w:rPr>
          <w:rFonts w:hint="eastAsia" w:ascii="仿宋_GB2312" w:eastAsia="仿宋_GB2312" w:cs="仿宋_GB2312"/>
          <w:color w:val="000000"/>
          <w:kern w:val="0"/>
          <w:sz w:val="32"/>
          <w:szCs w:val="32"/>
        </w:rPr>
        <w:t>项目须加强生产全过程管理，强化综合利用，降低能耗物耗，减少各种污染物的产生量和排放量。同时，你公司在项目建设和运行过程中要认真落实《报告表》提出的各项污染防治措施，确保各治污设施正常运行，各种污染物达标排放，各项环保设施设计应当由具有环保设施工程设计资质的单位承担，按照要求认真落实各项污染防治措施，加强环保设施运营管理，确保满足相关要求，并重点做好以下工作：</w:t>
      </w:r>
    </w:p>
    <w:p>
      <w:pPr>
        <w:keepNext w:val="0"/>
        <w:keepLines w:val="0"/>
        <w:pageBreakBefore w:val="0"/>
        <w:widowControl/>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rPr>
        <w:t>（一）加强施工期环境管理，减少施工对环境的影响。</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outlineLvl w:val="9"/>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施工期应严格控制施工范围，科学规划布局施工场地，合理安排施工时间，减少对地表扰动、植被破坏以及野生动物栖息地的影响。做好土石方平衡、表土回覆，减少弃渣量，临时堆场设置围挡，并进行苫盖，施工结束后及时恢复土地原有功能，做好防风防沙措施，按《报告表》要求做好生态恢复和水土流失防护措施。</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outlineLvl w:val="9"/>
        <w:rPr>
          <w:rFonts w:hint="eastAsia" w:ascii="仿宋_GB2312" w:eastAsia="仿宋_GB2312" w:cs="仿宋_GB2312"/>
          <w:color w:val="000000"/>
          <w:kern w:val="0"/>
          <w:sz w:val="32"/>
          <w:szCs w:val="32"/>
        </w:rPr>
      </w:pPr>
      <w:r>
        <w:rPr>
          <w:rFonts w:hint="eastAsia" w:ascii="Times New Roman" w:hAnsi="Times New Roman" w:eastAsia="仿宋" w:cs="Times New Roman"/>
          <w:color w:val="auto"/>
          <w:sz w:val="32"/>
          <w:szCs w:val="32"/>
          <w:highlight w:val="none"/>
          <w:lang w:val="en-US" w:eastAsia="zh-CN"/>
        </w:rPr>
        <w:t>1.施工废气主要为：施工扬尘，车辆尾气。建设及施工单位须严格执行《河北省大气污染防治条例》（2016年3月1日）、《关于印发&lt;河北省建筑施工扬尘防治强化措施18条&gt;的通知》（冀建安[2016]27号）、《关于印发&lt;河北省建筑施工扬尘治理方案&gt;的通知》（冀建安[2017]9号）、《河北省人民代表大会常务委员会关于加强扬尘污染防治的决定》（2018年11月1日）、《河北省2024年建筑施工扬尘污染防治工作方案》、《河北省扬尘污染防治办法》、《秦皇岛深入实施大气污染综合治理四十条措施》、《秦皇岛市不利气象条件下大气环境质量差异化应急管控方案》等相关文件中有关扬尘的管理规定，采取合理的扬尘防治措施，严控建筑施工扬尘污染，施工过程中需做到“六个百分百”，即施工现场周边100%封闭围挡，物料堆放苫盖100%覆盖，工地路面100%硬化，拆迁湿法作业100%，出入工地运输车辆100%冲净车轮车身且密闭无洒漏，渣土车辆100%密闭运输。两个全覆盖，即现场视频联网监控“全覆盖”、安装扬尘联网监控设备“全覆盖”。施工作业区安装视频监控和PM10在线监测设备，并联网，确保施工现场不飞尘、不泥泞、不遗撒，全面提升施工过程中的规范化管理水平。施工期按照《施工场地扬尘排放标准》（DB13/2934-2019）中要求安装工地扬尘视频监控和在线监测设备，执行施工期监测计划。施工场界颗粒物排放浓度小于《施工场地扬尘排放标准》（DB13/2934-2019）表1相关要求</w:t>
      </w:r>
      <w:r>
        <w:rPr>
          <w:rFonts w:hint="eastAsia" w:ascii="仿宋_GB2312" w:eastAsia="仿宋_GB2312" w:cs="仿宋_GB2312"/>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outlineLvl w:val="9"/>
        <w:rPr>
          <w:rFonts w:hint="eastAsia" w:ascii="仿宋_GB2312" w:eastAsia="仿宋_GB2312" w:cs="仿宋_GB2312"/>
          <w:color w:val="000000"/>
          <w:kern w:val="0"/>
          <w:sz w:val="32"/>
          <w:szCs w:val="32"/>
        </w:rPr>
      </w:pPr>
      <w:r>
        <w:rPr>
          <w:rFonts w:hint="eastAsia" w:ascii="Times New Roman" w:hAnsi="Times New Roman" w:eastAsia="仿宋" w:cs="Times New Roman"/>
          <w:color w:val="auto"/>
          <w:sz w:val="32"/>
          <w:szCs w:val="32"/>
          <w:highlight w:val="none"/>
          <w:lang w:val="en-US" w:eastAsia="zh-CN"/>
        </w:rPr>
        <w:t>2.施工机械选用低噪声机械设备，并及时维修保养，严格按操作规程使用各类机械；施工区采用围档，减轻施工噪声影响。压路机、挖掘机等设备在基础开挖等作业必须在短期内完成；昼间施工限制使用高噪声施工机械施工；钢筋调直机、钢筋切断机等非必须固定设备远离居民区进行生产加工，不在居民区附近设置固定的加工点，减少临近居民区域的非必要车辆行驶，不在夜间和中午进行施工，以减少施工噪声对临近居民的影响；在施工场地及就近敏感点布设噪声监测点。在落实上述噪声污染防治措施后，须达到《建筑施工噪声排放标准》（GB12523-2025）。</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outlineLvl w:val="1"/>
        <w:rPr>
          <w:rFonts w:hint="eastAsia" w:ascii="仿宋_GB2312" w:eastAsia="仿宋_GB2312" w:cs="仿宋_GB2312"/>
          <w:color w:val="000000"/>
          <w:kern w:val="0"/>
          <w:sz w:val="32"/>
          <w:szCs w:val="32"/>
        </w:rPr>
      </w:pPr>
      <w:r>
        <w:rPr>
          <w:rFonts w:hint="eastAsia" w:ascii="Times New Roman" w:hAnsi="Times New Roman" w:eastAsia="仿宋" w:cs="Times New Roman"/>
          <w:color w:val="auto"/>
          <w:sz w:val="32"/>
          <w:szCs w:val="32"/>
          <w:highlight w:val="none"/>
          <w:lang w:val="en-US" w:eastAsia="zh-CN"/>
        </w:rPr>
        <w:t>3.施工废水主要为：车辆冲洗废水、生活污水等。</w:t>
      </w:r>
      <w:r>
        <w:rPr>
          <w:rFonts w:hint="eastAsia" w:ascii="仿宋_GB2312" w:eastAsia="仿宋_GB2312" w:cs="仿宋_GB2312"/>
          <w:color w:val="000000"/>
          <w:kern w:val="0"/>
          <w:sz w:val="32"/>
          <w:szCs w:val="32"/>
        </w:rPr>
        <w:t>施工</w:t>
      </w:r>
      <w:r>
        <w:rPr>
          <w:rFonts w:hint="eastAsia" w:ascii="仿宋_GB2312" w:eastAsia="仿宋_GB2312" w:cs="仿宋_GB2312"/>
          <w:color w:val="000000"/>
          <w:kern w:val="0"/>
          <w:sz w:val="32"/>
          <w:szCs w:val="32"/>
          <w:lang w:eastAsia="zh-CN"/>
        </w:rPr>
        <w:t>出入口设置</w:t>
      </w:r>
      <w:r>
        <w:rPr>
          <w:rFonts w:hint="eastAsia" w:ascii="Times New Roman" w:hAnsi="Times New Roman" w:eastAsia="仿宋" w:cs="Times New Roman"/>
          <w:color w:val="auto"/>
          <w:sz w:val="32"/>
          <w:szCs w:val="32"/>
          <w:highlight w:val="none"/>
          <w:lang w:val="en-US" w:eastAsia="zh-CN"/>
        </w:rPr>
        <w:t>车辆冲洗设备、</w:t>
      </w:r>
      <w:r>
        <w:rPr>
          <w:rFonts w:hint="eastAsia" w:ascii="仿宋_GB2312" w:eastAsia="仿宋_GB2312" w:cs="仿宋_GB2312"/>
          <w:color w:val="000000"/>
          <w:kern w:val="0"/>
          <w:sz w:val="32"/>
          <w:szCs w:val="32"/>
          <w:lang w:eastAsia="zh-CN"/>
        </w:rPr>
        <w:t>沉淀池，</w:t>
      </w:r>
      <w:r>
        <w:rPr>
          <w:rFonts w:hint="eastAsia" w:ascii="仿宋_GB2312" w:eastAsia="仿宋_GB2312" w:cs="仿宋_GB2312"/>
          <w:color w:val="000000"/>
          <w:kern w:val="0"/>
          <w:sz w:val="32"/>
          <w:szCs w:val="32"/>
        </w:rPr>
        <w:t>车辆冲洗废水经沉淀池处理后回用</w:t>
      </w:r>
      <w:r>
        <w:rPr>
          <w:rFonts w:hint="eastAsia" w:ascii="仿宋_GB2312" w:eastAsia="仿宋_GB2312" w:cs="仿宋_GB2312"/>
          <w:color w:val="000000"/>
          <w:kern w:val="0"/>
          <w:sz w:val="32"/>
          <w:szCs w:val="32"/>
          <w:lang w:eastAsia="zh-CN"/>
        </w:rPr>
        <w:t>或</w:t>
      </w:r>
      <w:r>
        <w:rPr>
          <w:rFonts w:hint="eastAsia" w:ascii="Times New Roman" w:hAnsi="Times New Roman" w:eastAsia="仿宋" w:cs="Times New Roman"/>
          <w:color w:val="auto"/>
          <w:sz w:val="32"/>
          <w:szCs w:val="32"/>
          <w:highlight w:val="none"/>
          <w:lang w:val="en-US" w:eastAsia="zh-CN"/>
        </w:rPr>
        <w:t>施工场地洒水抑尘；生活污水为盥洗废水，用于施工区域泼洒抑尘；施工场地</w:t>
      </w:r>
      <w:r>
        <w:rPr>
          <w:rFonts w:hint="eastAsia" w:ascii="仿宋_GB2312" w:eastAsia="仿宋_GB2312" w:cs="仿宋_GB2312"/>
          <w:color w:val="000000"/>
          <w:kern w:val="0"/>
          <w:sz w:val="32"/>
          <w:szCs w:val="32"/>
        </w:rPr>
        <w:t>设置旱厕，定期清掏用作农肥。</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4.</w:t>
      </w:r>
      <w:r>
        <w:rPr>
          <w:rFonts w:hint="eastAsia" w:ascii="Times New Roman" w:hAnsi="Times New Roman" w:eastAsia="仿宋" w:cs="Times New Roman"/>
          <w:color w:val="auto"/>
          <w:sz w:val="32"/>
          <w:szCs w:val="32"/>
          <w:highlight w:val="none"/>
          <w:lang w:val="en-US" w:eastAsia="zh-CN"/>
        </w:rPr>
        <w:t>施工期</w:t>
      </w:r>
      <w:r>
        <w:rPr>
          <w:rFonts w:hint="eastAsia" w:ascii="Times New Roman" w:hAnsi="Times New Roman" w:eastAsia="仿宋" w:cs="Times New Roman"/>
          <w:color w:val="auto"/>
          <w:sz w:val="32"/>
          <w:szCs w:val="32"/>
          <w:highlight w:val="none"/>
        </w:rPr>
        <w:t>固体废物</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开挖土石方时，将场内表层土，选择妥善地点堆放，底层土妥善堆砌。工程完毕，先用底层土覆盖裸露区域，再用表层土覆盖；施工废弃土石、建筑垃圾、弃渣等就地回填并摊平表层土后植草；废弃零部件外售至废旧资源回收单位</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施工期生活垃圾由环卫部门统一收集处置。</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outlineLvl w:val="1"/>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施工期生态环境保护措施</w:t>
      </w:r>
      <w:r>
        <w:rPr>
          <w:rFonts w:hint="eastAsia" w:ascii="Times New Roman" w:hAnsi="Times New Roman"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1）动物的防治措施：①施工设备选取低噪声设备，并且严格按操作规范使用，施工单位设专人对设备进行定期保养和维护；②提倡文明施工，增强施工人员的环保意识，减少人为噪声污染，在施工现场禁止大声喧哗吵闹；③施工作业中搬运物件，须轻拿轻放，禁止抛掷物件而造成噪声；④建设单位加强管理、采取措施对施工活动进行监督。</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2）植被的防治措施：施工期对植被的破坏是暂时性的，施工结束，对临时破坏的植被通过回铺或种植当地草种、乔木进行恢复。施工要划定施工范围并严格控制，加强施工人员教育管理，施工人员和机械不得在划定区域外随意活动，减少对植被和表层土壤的破坏。</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（3）鸟类的保护措施：</w:t>
      </w:r>
      <w:r>
        <w:rPr>
          <w:rFonts w:hint="default" w:ascii="Times New Roman" w:hAnsi="Times New Roman" w:eastAsia="微软雅黑" w:cs="Times New Roman"/>
          <w:b w:val="0"/>
          <w:bCs w:val="0"/>
          <w:color w:val="auto"/>
          <w:sz w:val="32"/>
          <w:szCs w:val="32"/>
          <w:highlight w:val="none"/>
          <w:lang w:val="en-US" w:eastAsia="zh-CN"/>
        </w:rPr>
        <w:t>①</w:t>
      </w:r>
      <w:r>
        <w:rPr>
          <w:rFonts w:hint="default" w:ascii="Times New Roman" w:hAnsi="Times New Roman" w:eastAsia="仿宋" w:cs="Times New Roman"/>
          <w:b w:val="0"/>
          <w:bCs w:val="0"/>
          <w:color w:val="auto"/>
          <w:sz w:val="32"/>
          <w:szCs w:val="32"/>
          <w:highlight w:val="none"/>
          <w:lang w:val="en-US" w:eastAsia="zh-CN"/>
        </w:rPr>
        <w:t>合理安排施工时间</w:t>
      </w:r>
      <w:r>
        <w:rPr>
          <w:rFonts w:hint="eastAsia" w:ascii="Times New Roman" w:hAnsi="Times New Roman" w:eastAsia="仿宋" w:cs="Times New Roman"/>
          <w:b w:val="0"/>
          <w:bCs w:val="0"/>
          <w:color w:val="auto"/>
          <w:sz w:val="32"/>
          <w:szCs w:val="32"/>
          <w:highlight w:val="none"/>
          <w:lang w:val="en-US" w:eastAsia="zh-CN"/>
        </w:rPr>
        <w:t>，尽量避开候鸟迁徙的高峰期和早晚活动期（早晨5:00-7:00，傍晚17:00-19:00），减少对鸟类的影响；鸟类迁徙具有趋光性，夜间灯光会导致鸟类迁徙迷失方向，在10月底和3月初鸟类集中迁徙期间，尽量避免夜间施工，或对施工场地的光源进行遮蔽、选用低亮度照明设备、合理布置照明方向、缩短不必要的照明时长，减少对外界的漏光量，同时通过选用低噪声设备、合理规划施工场地布局、加强设备维护管理，尽量降低噪声与灯光对鸟类的干扰。</w:t>
      </w:r>
      <w:r>
        <w:rPr>
          <w:rFonts w:hint="eastAsia" w:ascii="Times New Roman" w:hAnsi="Times New Roman" w:eastAsia="微软雅黑" w:cs="Times New Roman"/>
          <w:b w:val="0"/>
          <w:bCs w:val="0"/>
          <w:color w:val="auto"/>
          <w:sz w:val="32"/>
          <w:szCs w:val="32"/>
          <w:highlight w:val="none"/>
          <w:lang w:val="en-US" w:eastAsia="zh-CN"/>
        </w:rPr>
        <w:t>②</w:t>
      </w:r>
      <w:r>
        <w:rPr>
          <w:rFonts w:hint="eastAsia" w:ascii="Times New Roman" w:hAnsi="Times New Roman" w:eastAsia="仿宋" w:cs="Times New Roman"/>
          <w:b w:val="0"/>
          <w:bCs w:val="0"/>
          <w:color w:val="auto"/>
          <w:sz w:val="32"/>
          <w:szCs w:val="32"/>
          <w:highlight w:val="none"/>
          <w:lang w:val="en-US" w:eastAsia="zh-CN"/>
        </w:rPr>
        <w:t>严格管控项目施工范围。施工建设要划定施工范围，严格控制占地面积，科学组织施工流程，加强施工现场管理，有效降低项目建设对区域鸟类造成的各种不良影响。</w:t>
      </w:r>
      <w:r>
        <w:rPr>
          <w:rFonts w:hint="eastAsia" w:ascii="宋体" w:hAnsi="宋体" w:eastAsia="宋体" w:cs="宋体"/>
          <w:b w:val="0"/>
          <w:bCs w:val="0"/>
          <w:color w:val="auto"/>
          <w:sz w:val="32"/>
          <w:szCs w:val="32"/>
          <w:highlight w:val="none"/>
          <w:lang w:val="en-US" w:eastAsia="zh-CN"/>
        </w:rPr>
        <w:t>③</w:t>
      </w:r>
      <w:r>
        <w:rPr>
          <w:rFonts w:hint="eastAsia" w:ascii="Times New Roman" w:hAnsi="Times New Roman" w:eastAsia="仿宋" w:cs="Times New Roman"/>
          <w:b w:val="0"/>
          <w:bCs w:val="0"/>
          <w:color w:val="auto"/>
          <w:sz w:val="32"/>
          <w:szCs w:val="32"/>
          <w:highlight w:val="none"/>
          <w:lang w:val="en-US" w:eastAsia="zh-CN"/>
        </w:rPr>
        <w:t>健全保护管理协调机制。施工期通过制定相应的环保手册对施工人员、施工区域、施工方式、施工时间进行有效的指导。对施工人员进行候鸟保护等法律知识宣传教育，在工地及周边设立爱护鸟类自然植被的宣传牌，严禁捕猎各种鸟类；施工过程中一旦发现珍稀动物及时联系保护区管理处，特别是在保护区及附近区域，采取适当保护措施，不得伤害珍稀鸟类，发现受伤的珍稀鸟类立即联系野生动物保护部门，及时救治。</w:t>
      </w:r>
      <w:r>
        <w:rPr>
          <w:rFonts w:hint="eastAsia" w:ascii="宋体" w:hAnsi="宋体" w:eastAsia="宋体" w:cs="宋体"/>
          <w:b w:val="0"/>
          <w:bCs w:val="0"/>
          <w:color w:val="auto"/>
          <w:sz w:val="32"/>
          <w:szCs w:val="32"/>
          <w:highlight w:val="none"/>
          <w:lang w:val="en-US" w:eastAsia="zh-CN"/>
        </w:rPr>
        <w:t>④</w:t>
      </w:r>
      <w:r>
        <w:rPr>
          <w:rFonts w:hint="eastAsia" w:ascii="Times New Roman" w:hAnsi="Times New Roman" w:eastAsia="仿宋" w:cs="Times New Roman"/>
          <w:b w:val="0"/>
          <w:bCs w:val="0"/>
          <w:color w:val="auto"/>
          <w:sz w:val="32"/>
          <w:szCs w:val="32"/>
          <w:highlight w:val="none"/>
          <w:lang w:val="en-US" w:eastAsia="zh-CN"/>
        </w:rPr>
        <w:t>合理规划、设计施工便道。机械和车辆固定行车路线，不能随意下道行驶或另开辟便道，以保证周围地表和植被不受破坏，保护鸟类栖息环境。</w:t>
      </w:r>
      <w:r>
        <w:rPr>
          <w:rFonts w:hint="default" w:ascii="Times New Roman" w:hAnsi="Times New Roman" w:eastAsia="微软雅黑" w:cs="Times New Roman"/>
          <w:b w:val="0"/>
          <w:bCs w:val="0"/>
          <w:color w:val="auto"/>
          <w:sz w:val="32"/>
          <w:szCs w:val="32"/>
          <w:highlight w:val="none"/>
          <w:lang w:val="en-US" w:eastAsia="zh-CN"/>
        </w:rPr>
        <w:t>⑤</w:t>
      </w:r>
      <w:r>
        <w:rPr>
          <w:rFonts w:hint="eastAsia" w:ascii="Times New Roman" w:hAnsi="Times New Roman" w:eastAsia="仿宋" w:cs="Times New Roman"/>
          <w:b w:val="0"/>
          <w:bCs w:val="0"/>
          <w:color w:val="auto"/>
          <w:sz w:val="32"/>
          <w:szCs w:val="32"/>
          <w:highlight w:val="none"/>
          <w:lang w:val="en-US" w:eastAsia="zh-CN"/>
        </w:rPr>
        <w:t>施工期进行鸟类监测，覆盖繁殖迁徙季，记录物种、数量、活动区域，建立台账。</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4）生态恢复措施：施工中，须按照设计要求严格控制施工范围及开挖量，基础开挖多余的土石方采取回填方式妥善处置，尽量减少弃方。施工结束后，及时清理施工场地，并及时进行土地整治和恢复，尽力恢复原地貌及原有土地利用功能。做好表土剥离与临时堆存，施工前对风机安装场地、线缆施工区等临时占地表层土进行剥离，用于后期植被恢复覆土，根据实际情况，剥离的表层土集中堆放于地势平缓的空地处。各项工程施工前或开挖前，先剥离表层土，设置表土临时堆场。堆放中需采取拦挡、临时苫盖措施，防止表土流失。</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5）水土流失、沙化土地防治措施。严格按照《中华人民共和国防沙治沙法》（2018）及《河北省生态环境厅办公室关于进一步做好沙区建设项目环境影响评价工作的通知》（冀环办字函[2023]326号）中有关规定执行。该项目风电机组在沙化区，施工中，须加强沙化土地区的植被保护、减缓或避免沙化措施如下：①风力发电机组基础建设及施工临时场地设置、检修道路建设等施工中，减少临时占地，严格控制施工作业范围，尽量减少占用已经治理好的沙化土地。需要占用固定沙地、半固定沙地的，须因地制宜的做好生态保护、治沙等方面的科学论证。②在沙区范围内施工时，尽量减少占用沙区植被地，因工程限制、导致临时占地必须占用沙化土地，并对沙区植被造成破坏时，做好生态恢复方案，减轻对沙区植被的影响，减缓或避免沙化进程。</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③施工临时场地、道路采用钢板覆盖，降低对施工区域土地的影响。④施工中应科学规划、分段施工，边施工、边回填；避开大风天气，在风速较大时（平均风速≥10.8m/s）停止施工。</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6）景观防治措施：施工中，采取围挡作业、分段施工、及时清运弃方、采取防尘抑尘措施、集中收集施工人员生活垃圾并及时清运处理等措施，施工区域及时恢复原有自然面貌，将施工造成的景观影响降至最小。</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（7）施工管理措施：加强施工管理，做好施工组织设计，合理安排施工时间，制定施工期的环境管理、监控计划，选择合适的施工方式，避免破坏环境。</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_GB2312" w:eastAsia="仿宋_GB2312" w:cs="仿宋_GB2312"/>
          <w:color w:val="000000"/>
          <w:kern w:val="0"/>
          <w:sz w:val="32"/>
          <w:szCs w:val="32"/>
        </w:rPr>
      </w:pPr>
      <w:r>
        <w:rPr>
          <w:rFonts w:hint="eastAsia" w:ascii="Times New Roman" w:hAnsi="Times New Roman" w:eastAsia="仿宋" w:cs="Times New Roman"/>
          <w:b w:val="0"/>
          <w:bCs w:val="0"/>
          <w:color w:val="auto"/>
          <w:sz w:val="32"/>
          <w:szCs w:val="32"/>
          <w:highlight w:val="none"/>
          <w:lang w:val="en-US" w:eastAsia="zh-CN"/>
        </w:rPr>
        <w:t>（8）临时防护措施。①临时拦挡措施：在回填区下游增加临时拦挡措施，控制施工范围；②临时苫盖措施：对施工区回填边坡、临时道路土路肩采用无纺布等临时苫盖；③堆土防护措施：表土堆区应采用临时苫盖设施；④水土保持措施：临时堆土场采用无纺布临时苫盖,施工结束后及时拆除临时建筑物,对裸露地面种植本土植物进行恢复。</w:t>
      </w:r>
    </w:p>
    <w:p>
      <w:pPr>
        <w:keepNext w:val="0"/>
        <w:keepLines w:val="0"/>
        <w:pageBreakBefore w:val="0"/>
        <w:widowControl/>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（二）加强运营期环保设施管理，认真落实各项污染防治措施，确保满足相关要求。</w:t>
      </w:r>
    </w:p>
    <w:p>
      <w:pPr>
        <w:keepNext w:val="0"/>
        <w:keepLines w:val="0"/>
        <w:pageBreakBefore w:val="0"/>
        <w:widowControl/>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1.</w:t>
      </w:r>
      <w:r>
        <w:rPr>
          <w:rFonts w:hint="eastAsia" w:ascii="仿宋_GB2312" w:eastAsia="仿宋_GB2312" w:cs="仿宋_GB2312"/>
          <w:color w:val="000000"/>
          <w:kern w:val="0"/>
          <w:sz w:val="32"/>
          <w:szCs w:val="32"/>
          <w:lang w:eastAsia="zh-CN"/>
        </w:rPr>
        <w:t>该</w:t>
      </w:r>
      <w:r>
        <w:rPr>
          <w:rFonts w:hint="default" w:ascii="Times New Roman" w:hAnsi="Times New Roman" w:eastAsia="仿宋" w:cs="Times New Roman"/>
          <w:color w:val="auto"/>
          <w:sz w:val="32"/>
          <w:szCs w:val="32"/>
          <w:highlight w:val="none"/>
          <w:lang w:val="en-US" w:eastAsia="zh-CN"/>
        </w:rPr>
        <w:t>项目运营期主要为风机发电，</w:t>
      </w:r>
      <w:r>
        <w:rPr>
          <w:rFonts w:hint="eastAsia" w:ascii="仿宋_GB2312" w:eastAsia="仿宋_GB2312" w:cs="仿宋_GB2312"/>
          <w:color w:val="000000"/>
          <w:kern w:val="0"/>
          <w:sz w:val="32"/>
          <w:szCs w:val="32"/>
        </w:rPr>
        <w:t>无废气、废水产生。</w:t>
      </w:r>
    </w:p>
    <w:p>
      <w:pPr>
        <w:keepNext w:val="0"/>
        <w:keepLines w:val="0"/>
        <w:pageBreakBefore w:val="0"/>
        <w:widowControl/>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2.严格落实噪声污染防治措施。</w:t>
      </w:r>
    </w:p>
    <w:p>
      <w:pPr>
        <w:keepNext w:val="0"/>
        <w:keepLines w:val="0"/>
        <w:pageBreakBefore w:val="0"/>
        <w:widowControl/>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color w:val="000000"/>
          <w:kern w:val="0"/>
          <w:sz w:val="32"/>
          <w:szCs w:val="32"/>
        </w:rPr>
      </w:pPr>
      <w:r>
        <w:rPr>
          <w:rFonts w:hint="eastAsia" w:ascii="Times New Roman" w:hAnsi="Times New Roman" w:eastAsia="仿宋" w:cs="Times New Roman"/>
          <w:color w:val="auto"/>
          <w:sz w:val="32"/>
          <w:szCs w:val="32"/>
          <w:highlight w:val="none"/>
          <w:lang w:val="en-US" w:eastAsia="zh-CN"/>
        </w:rPr>
        <w:t>营运期的噪声主要为风力发电机组，</w:t>
      </w:r>
      <w:r>
        <w:rPr>
          <w:rFonts w:hint="eastAsia" w:ascii="仿宋_GB2312" w:eastAsia="仿宋_GB2312" w:cs="仿宋_GB2312"/>
          <w:color w:val="000000"/>
          <w:kern w:val="0"/>
          <w:sz w:val="32"/>
          <w:szCs w:val="32"/>
        </w:rPr>
        <w:t>采用低噪声设备</w:t>
      </w:r>
      <w:r>
        <w:rPr>
          <w:rFonts w:hint="eastAsia" w:ascii="仿宋_GB2312" w:eastAsia="仿宋_GB2312" w:cs="仿宋_GB2312"/>
          <w:color w:val="000000"/>
          <w:kern w:val="0"/>
          <w:sz w:val="32"/>
          <w:szCs w:val="32"/>
          <w:lang w:eastAsia="zh-CN"/>
        </w:rPr>
        <w:t>，设置</w:t>
      </w:r>
      <w:r>
        <w:rPr>
          <w:rFonts w:hint="eastAsia" w:ascii="仿宋_GB2312" w:eastAsia="仿宋_GB2312" w:cs="仿宋_GB2312"/>
          <w:color w:val="000000"/>
          <w:kern w:val="0"/>
          <w:sz w:val="32"/>
          <w:szCs w:val="32"/>
        </w:rPr>
        <w:t>基础减振</w:t>
      </w:r>
      <w:r>
        <w:rPr>
          <w:rFonts w:hint="eastAsia" w:ascii="仿宋_GB2312" w:eastAsia="仿宋_GB2312" w:cs="仿宋_GB2312"/>
          <w:color w:val="000000"/>
          <w:kern w:val="0"/>
          <w:sz w:val="32"/>
          <w:szCs w:val="32"/>
          <w:lang w:eastAsia="zh-CN"/>
        </w:rPr>
        <w:t>和</w:t>
      </w:r>
      <w:r>
        <w:rPr>
          <w:rFonts w:hint="eastAsia" w:ascii="Times New Roman" w:hAnsi="Times New Roman" w:eastAsia="仿宋" w:cs="Times New Roman"/>
          <w:color w:val="auto"/>
          <w:sz w:val="32"/>
          <w:szCs w:val="32"/>
          <w:highlight w:val="none"/>
          <w:lang w:val="en-US" w:eastAsia="zh-CN"/>
        </w:rPr>
        <w:t>消声措施</w:t>
      </w:r>
      <w:r>
        <w:rPr>
          <w:rFonts w:hint="eastAsia" w:ascii="仿宋_GB2312" w:eastAsia="仿宋_GB2312" w:cs="仿宋_GB2312"/>
          <w:color w:val="000000"/>
          <w:kern w:val="0"/>
          <w:sz w:val="32"/>
          <w:szCs w:val="32"/>
        </w:rPr>
        <w:t>措施</w:t>
      </w:r>
      <w:r>
        <w:rPr>
          <w:rFonts w:hint="eastAsia" w:ascii="仿宋_GB2312" w:eastAsia="仿宋_GB2312" w:cs="仿宋_GB2312"/>
          <w:color w:val="000000"/>
          <w:kern w:val="0"/>
          <w:sz w:val="32"/>
          <w:szCs w:val="32"/>
          <w:lang w:eastAsia="zh-CN"/>
        </w:rPr>
        <w:t>，</w:t>
      </w:r>
      <w:r>
        <w:rPr>
          <w:rFonts w:hint="eastAsia" w:ascii="Times New Roman" w:hAnsi="Times New Roman" w:eastAsia="仿宋" w:cs="Times New Roman"/>
          <w:color w:val="auto"/>
          <w:sz w:val="32"/>
          <w:szCs w:val="32"/>
          <w:highlight w:val="none"/>
          <w:lang w:val="en-US" w:eastAsia="zh-CN"/>
        </w:rPr>
        <w:t>合理布置风力发电机组</w:t>
      </w:r>
      <w:r>
        <w:rPr>
          <w:rFonts w:hint="eastAsia" w:ascii="仿宋_GB2312" w:eastAsia="仿宋_GB2312" w:cs="仿宋_GB2312"/>
          <w:color w:val="000000"/>
          <w:kern w:val="0"/>
          <w:sz w:val="32"/>
          <w:szCs w:val="32"/>
          <w:lang w:eastAsia="zh-CN"/>
        </w:rPr>
        <w:t>及</w:t>
      </w:r>
      <w:r>
        <w:rPr>
          <w:rFonts w:hint="eastAsia" w:ascii="Times New Roman" w:hAnsi="Times New Roman" w:eastAsia="仿宋" w:cs="Times New Roman"/>
          <w:color w:val="auto"/>
          <w:sz w:val="32"/>
          <w:szCs w:val="32"/>
          <w:highlight w:val="none"/>
          <w:lang w:val="en-US" w:eastAsia="zh-CN"/>
        </w:rPr>
        <w:t>经常对风机进行维护和检修</w:t>
      </w:r>
      <w:r>
        <w:rPr>
          <w:rFonts w:hint="eastAsia" w:ascii="仿宋_GB2312" w:eastAsia="仿宋_GB2312" w:cs="仿宋_GB2312"/>
          <w:color w:val="000000"/>
          <w:kern w:val="0"/>
          <w:sz w:val="32"/>
          <w:szCs w:val="32"/>
        </w:rPr>
        <w:t>等措施</w:t>
      </w:r>
      <w:r>
        <w:rPr>
          <w:rFonts w:hint="eastAsia" w:ascii="Times New Roman" w:hAnsi="Times New Roman" w:eastAsia="仿宋" w:cs="Times New Roman"/>
          <w:color w:val="auto"/>
          <w:sz w:val="32"/>
          <w:szCs w:val="32"/>
          <w:highlight w:val="none"/>
          <w:lang w:val="en-US" w:eastAsia="zh-CN"/>
        </w:rPr>
        <w:t>。</w:t>
      </w:r>
      <w:r>
        <w:rPr>
          <w:rFonts w:hint="eastAsia" w:ascii="仿宋_GB2312" w:eastAsia="仿宋_GB2312" w:cs="仿宋_GB2312"/>
          <w:color w:val="000000"/>
          <w:kern w:val="0"/>
          <w:sz w:val="32"/>
          <w:szCs w:val="32"/>
        </w:rPr>
        <w:t>边界噪声</w:t>
      </w:r>
      <w:r>
        <w:rPr>
          <w:rFonts w:hint="eastAsia" w:ascii="Times New Roman" w:hAnsi="Times New Roman" w:eastAsia="仿宋" w:cs="Times New Roman"/>
          <w:color w:val="auto"/>
          <w:sz w:val="32"/>
          <w:szCs w:val="32"/>
          <w:highlight w:val="none"/>
          <w:lang w:val="en-US" w:eastAsia="zh-CN"/>
        </w:rPr>
        <w:t>须执行《声环境质量标准》（GB 3096-2008）1类标准要求。</w:t>
      </w:r>
    </w:p>
    <w:p>
      <w:pPr>
        <w:keepNext w:val="0"/>
        <w:keepLines w:val="0"/>
        <w:pageBreakBefore w:val="0"/>
        <w:widowControl/>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3.严格落实固体废物污染防治措施。</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eastAsia="zh-CN"/>
        </w:rPr>
        <w:t>该</w:t>
      </w:r>
      <w:r>
        <w:rPr>
          <w:rFonts w:hint="eastAsia" w:ascii="仿宋_GB2312" w:eastAsia="仿宋_GB2312" w:cs="仿宋_GB2312"/>
          <w:color w:val="000000"/>
          <w:kern w:val="0"/>
          <w:sz w:val="32"/>
          <w:szCs w:val="32"/>
        </w:rPr>
        <w:t>项目要严格落实固体废物分类处置和综合利用措施，认真落实《报告表》规定的固体废物处理、处置措施。按照“资源化、减量</w:t>
      </w:r>
      <w:r>
        <w:rPr>
          <w:rFonts w:hint="eastAsia" w:ascii="Times New Roman" w:hAnsi="Times New Roman" w:eastAsia="仿宋" w:cs="Times New Roman"/>
          <w:color w:val="auto"/>
          <w:sz w:val="32"/>
          <w:szCs w:val="32"/>
          <w:highlight w:val="none"/>
          <w:lang w:val="en-US" w:eastAsia="zh-CN"/>
        </w:rPr>
        <w:t>化、无害化”的固废处置原则，实现综合利用。项目产生的固体废物主要为废风机叶片、废液压油、废变压器油、废润滑油、废油桶。更换的风机叶片由厂家回收；废润滑油、废液压油、废油桶收集暂存于升压站内的危废间，定期委托有资质的单位处置；箱式变压器事故时产生的废变压器油经事故油池收集后，交由有资质的单位处置</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eastAsia="zh-CN"/>
        </w:rPr>
        <w:t>该</w:t>
      </w:r>
      <w:r>
        <w:rPr>
          <w:rFonts w:hint="eastAsia" w:ascii="Times New Roman" w:hAnsi="Times New Roman" w:eastAsia="仿宋" w:cs="Times New Roman"/>
          <w:color w:val="auto"/>
          <w:sz w:val="32"/>
          <w:szCs w:val="32"/>
          <w:highlight w:val="none"/>
          <w:lang w:val="en-US" w:eastAsia="zh-CN"/>
        </w:rPr>
        <w:t>项目危险废物依托秦皇岛蓝凯新能源有限公司昌黎县朱各庄镇43.75MW风力发电项目升压站危险废物暂存间暂存。危废暂存间、事故油池等采取防腐防渗等措施，须达到《危险废物贮存污染控制标准》（GB18597-2023）中相关要求。在危废送至危废间的运输过程中，严格按照《危险废物收集 贮存 运输技术规范》（HJ2025-2012）执行</w:t>
      </w:r>
      <w:r>
        <w:rPr>
          <w:rFonts w:hint="eastAsia" w:ascii="仿宋_GB2312" w:eastAsia="仿宋_GB2312" w:cs="仿宋_GB2312"/>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outlineLvl w:val="1"/>
        <w:rPr>
          <w:rFonts w:hint="eastAsia" w:ascii="Times New Roman" w:hAnsi="Times New Roman" w:eastAsia="仿宋" w:cs="Times New Roman"/>
          <w:color w:val="auto"/>
          <w:sz w:val="32"/>
          <w:szCs w:val="32"/>
          <w:highlight w:val="none"/>
          <w:lang w:val="en-US" w:eastAsia="zh-CN"/>
        </w:rPr>
      </w:pPr>
      <w:r>
        <w:rPr>
          <w:rFonts w:hint="eastAsia" w:ascii="仿宋_GB2312" w:eastAsia="仿宋_GB2312" w:cs="仿宋_GB2312"/>
          <w:color w:val="000000"/>
          <w:kern w:val="0"/>
          <w:sz w:val="32"/>
          <w:szCs w:val="32"/>
          <w:lang w:val="en-US" w:eastAsia="zh-CN"/>
        </w:rPr>
        <w:t>4.</w:t>
      </w:r>
      <w:r>
        <w:rPr>
          <w:rFonts w:hint="eastAsia" w:ascii="仿宋_GB2312" w:eastAsia="仿宋_GB2312" w:cs="仿宋_GB2312"/>
          <w:color w:val="000000"/>
          <w:kern w:val="0"/>
          <w:sz w:val="32"/>
          <w:szCs w:val="32"/>
        </w:rPr>
        <w:t>严格落实</w:t>
      </w:r>
      <w:r>
        <w:rPr>
          <w:rFonts w:hint="eastAsia" w:ascii="Times New Roman" w:hAnsi="Times New Roman" w:eastAsia="仿宋" w:cs="Times New Roman"/>
          <w:color w:val="auto"/>
          <w:sz w:val="32"/>
          <w:szCs w:val="32"/>
          <w:highlight w:val="none"/>
          <w:lang w:val="en-US" w:eastAsia="zh-CN"/>
        </w:rPr>
        <w:t>地下水、土壤</w:t>
      </w:r>
      <w:r>
        <w:rPr>
          <w:rFonts w:hint="eastAsia" w:ascii="仿宋_GB2312" w:eastAsia="仿宋_GB2312" w:cs="仿宋_GB2312"/>
          <w:color w:val="000000"/>
          <w:kern w:val="0"/>
          <w:sz w:val="32"/>
          <w:szCs w:val="32"/>
        </w:rPr>
        <w:t>污染防治措施</w:t>
      </w:r>
      <w:r>
        <w:rPr>
          <w:rFonts w:hint="eastAsia" w:asci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outlineLvl w:val="1"/>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按照“源头控制、过程防控”相结合的原则，从污染物的产生、运移、扩散</w:t>
      </w:r>
      <w:r>
        <w:rPr>
          <w:rFonts w:hint="eastAsia" w:ascii="Times New Roman" w:hAnsi="Times New Roman" w:eastAsia="仿宋" w:cs="Times New Roman"/>
          <w:color w:val="auto"/>
          <w:sz w:val="32"/>
          <w:szCs w:val="32"/>
          <w:highlight w:val="none"/>
          <w:lang w:val="en-US" w:eastAsia="zh-CN"/>
        </w:rPr>
        <w:t>、应急响应全阶段进行控制。落实以下保护和污染防治措施：（1）风机发电机组位置区域及检修道路全部硬化，严格按照检修路线行走。（2）加强风机发电机组周边区域和检修道路两侧的绿化，不破坏周边现有植被，减缓或避免沙化进程。（3）采取分区防渗措施：危废暂存间、事故油池区域均采取防渗处理，防渗层为至少1m厚黏土层（渗透系数不大于10</w:t>
      </w:r>
      <w:r>
        <w:rPr>
          <w:rFonts w:hint="eastAsia" w:ascii="Times New Roman" w:hAnsi="Times New Roman" w:eastAsia="仿宋" w:cs="Times New Roman"/>
          <w:color w:val="auto"/>
          <w:sz w:val="32"/>
          <w:szCs w:val="32"/>
          <w:highlight w:val="none"/>
          <w:vertAlign w:val="superscript"/>
          <w:lang w:val="en-US" w:eastAsia="zh-CN"/>
        </w:rPr>
        <w:t>-7</w:t>
      </w:r>
      <w:r>
        <w:rPr>
          <w:rFonts w:hint="eastAsia" w:ascii="Times New Roman" w:hAnsi="Times New Roman" w:eastAsia="仿宋" w:cs="Times New Roman"/>
          <w:color w:val="auto"/>
          <w:sz w:val="32"/>
          <w:szCs w:val="32"/>
          <w:highlight w:val="none"/>
          <w:lang w:val="en-US" w:eastAsia="zh-CN"/>
        </w:rPr>
        <w:t>cm/s），或至少2mm厚高密度聚乙烯膜等人工防渗材料（渗透系数不大于10</w:t>
      </w:r>
      <w:r>
        <w:rPr>
          <w:rFonts w:hint="eastAsia" w:ascii="Times New Roman" w:hAnsi="Times New Roman" w:eastAsia="仿宋" w:cs="Times New Roman"/>
          <w:color w:val="auto"/>
          <w:sz w:val="32"/>
          <w:szCs w:val="32"/>
          <w:highlight w:val="none"/>
          <w:vertAlign w:val="superscript"/>
          <w:lang w:val="en-US" w:eastAsia="zh-CN"/>
        </w:rPr>
        <w:t>-10</w:t>
      </w:r>
      <w:r>
        <w:rPr>
          <w:rFonts w:hint="eastAsia" w:ascii="Times New Roman" w:hAnsi="Times New Roman" w:eastAsia="仿宋" w:cs="Times New Roman"/>
          <w:color w:val="auto"/>
          <w:sz w:val="32"/>
          <w:szCs w:val="32"/>
          <w:highlight w:val="none"/>
          <w:lang w:val="en-US" w:eastAsia="zh-CN"/>
        </w:rPr>
        <w:t>cm/s），或其他防渗性能等效的材料，须达到《危险废物贮存污染控制标准》（GB18597-2023）相关要求。其他区域均为一般防渗区：各区域地面均采取三合土铺底，在上层铺15cm防渗水泥进行硬化防渗，K≤1×10</w:t>
      </w:r>
      <w:r>
        <w:rPr>
          <w:rFonts w:hint="eastAsia" w:ascii="Times New Roman" w:hAnsi="Times New Roman" w:eastAsia="仿宋" w:cs="Times New Roman"/>
          <w:color w:val="auto"/>
          <w:sz w:val="32"/>
          <w:szCs w:val="32"/>
          <w:highlight w:val="none"/>
          <w:vertAlign w:val="superscript"/>
          <w:lang w:val="en-US" w:eastAsia="zh-CN"/>
        </w:rPr>
        <w:t>-7</w:t>
      </w:r>
      <w:r>
        <w:rPr>
          <w:rFonts w:hint="eastAsia" w:ascii="Times New Roman" w:hAnsi="Times New Roman" w:eastAsia="仿宋" w:cs="Times New Roman"/>
          <w:color w:val="auto"/>
          <w:sz w:val="32"/>
          <w:szCs w:val="32"/>
          <w:highlight w:val="none"/>
          <w:lang w:val="en-US" w:eastAsia="zh-CN"/>
        </w:rPr>
        <w:t>cm/s。</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加强对事故油池、危废间的维护和管理，防止跑、冒、滴、漏和非正常排放。</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仿宋_GB2312" w:eastAsia="仿宋_GB2312" w:cs="仿宋_GB2312"/>
          <w:color w:val="000000"/>
          <w:kern w:val="0"/>
          <w:sz w:val="32"/>
          <w:szCs w:val="32"/>
        </w:rPr>
        <w:t>5.</w:t>
      </w:r>
      <w:r>
        <w:rPr>
          <w:rFonts w:hint="eastAsia" w:ascii="仿宋_GB2312" w:eastAsia="仿宋_GB2312" w:cs="仿宋_GB2312"/>
          <w:color w:val="000000"/>
          <w:kern w:val="0"/>
          <w:sz w:val="32"/>
          <w:szCs w:val="32"/>
          <w:lang w:eastAsia="zh-CN"/>
        </w:rPr>
        <w:t>加强</w:t>
      </w:r>
      <w:r>
        <w:rPr>
          <w:rFonts w:hint="eastAsia" w:ascii="Times New Roman" w:hAnsi="Times New Roman" w:eastAsia="仿宋" w:cs="Times New Roman"/>
          <w:color w:val="auto"/>
          <w:sz w:val="32"/>
          <w:szCs w:val="32"/>
          <w:highlight w:val="none"/>
          <w:lang w:val="en-US" w:eastAsia="zh-CN"/>
        </w:rPr>
        <w:t>运营期生态环境保护措施。</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1）野生动物的生态保护措施：①风电场除必要的照明外，减少夜间灯光投射，减少对兽类惊扰影响。②防火、禁猎，保护风电场周边林地、灌丛、草丛等植被，保护动物的生存环境，加强风电场员工的宣传教育，严禁人为捕获野生动物。</w:t>
      </w:r>
      <w:r>
        <w:rPr>
          <w:rFonts w:hint="eastAsia" w:ascii="Times New Roman" w:hAnsi="Times New Roman" w:eastAsia="仿宋" w:cs="Times New Roman"/>
          <w:b w:val="0"/>
          <w:bCs w:val="0"/>
          <w:color w:val="auto"/>
          <w:sz w:val="32"/>
          <w:szCs w:val="32"/>
          <w:highlight w:val="none"/>
          <w:lang w:val="en-US" w:eastAsia="zh-CN"/>
        </w:rPr>
        <w:t>③</w:t>
      </w:r>
      <w:r>
        <w:rPr>
          <w:rFonts w:hint="eastAsia" w:ascii="Times New Roman" w:hAnsi="Times New Roman" w:eastAsia="仿宋" w:cs="Times New Roman"/>
          <w:color w:val="auto"/>
          <w:sz w:val="32"/>
          <w:szCs w:val="32"/>
          <w:highlight w:val="none"/>
          <w:lang w:val="en-US" w:eastAsia="zh-CN"/>
        </w:rPr>
        <w:t>尽量减少车辆、人员在场地范围内的工作活动，禁止在场地范围内鸣笛或产生较大噪音，减少对区域内陆地野生动物的干扰及恫吓。</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2）鸟类的生态保护措施：①风机叶片涂红色与白色相间的警示色，提高鸟类对风机叶片的辨识度，使鸟类在飞行过程中规避风机。②生态补偿，通过开展鸟类栖息地营建、缴纳生态补偿费、筑巢补偿等弥补鸟类由于风叶运行造成的影响。③假扮的太阳能机器“稻草人”，会发出很大的声音和高强度的频闪灯，以达到驱赶飞行动物目的。④在低风速时关停风机，减少鸟类撞击。⑤雷达技术可以检测飞行动物，可以判断鸟类的飞行高度、与风机叶片的距离。当监测系统发现大量候鸟接近风电场时，可以配合蜂鸣器立即采取声音警戒，或者通过停止风机的运转来有效防止鸟类与风机发生碰撞事故。⑥智能识别技术：首先在风电场内设置智能摄像机，根据事先定义的受保护鸟类的品种，识别并判断其飞行路线，评估是否有可能与风机叶片发生撞击。如可能性较大，则给风电场控制系统发出信号，关停相关风机。⑦运营管理：风电场的工作人员接受相关的鸟类保护培训提高对鸟类保护的意识和能力。制定科学合理的运维计划，定期对风机进行检查和维护，确保其正常运行的同时，尽量减少对周边环境的影响。</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（3）景观的生态保护措施：项目建设改变原有的景观格局，由原来的农业景观系统变为农业景观与风机相结合的生态景观。</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4）光影闪烁防护措施：①转速控制：在光影闪烁敏感时段，适当降低风机转速，延长叶片旋转周期，减少光影闪烁的频率，减弱光影闪烁对周边环境的影响；当光影闪烁对周边环境造成严重影响且无法通过其他方式有效缓解时，可选择在特定时段内停机，待光影闪烁影响较小的时段再恢复运行。②加强人工巡逻，确保及时在敏感时段控制相关点位减速或停机，同时不定期在非敏感时段进行人工巡逻，确保项目非敏感时段不会产生光影闪烁影响，如产生，按照敏感时段要求进行管控。</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5）生态恢复措施：该项目施工结束后，及时对吊装平台、施工便道、施工场地等临时占地植被恢复。在“恢复土地原有性质，适地适树、适地适草”的原则下，树种、草种以选择当地优良的乡土树种草种为主，保证绿化栽植的成活率。把剥离的表层熟土回填至周围的植被恢复区内，用作施工区的植被恢复。</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①吊装平台，风电设备安装结束后，对安装场地除风机箱变等永久占地以外的其他土地进行全面平整，犁地、踢出石块、施农家肥，对于原植被为农用地、园地的，恢复为农用地交于当地农民；对于占地类型为林地的，种植杨树苗。其余临时占地播撒草籽。</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②风机：以塔基为中心3-7m范围内，播撒草种，选择耐旱耐踩踏，低矮匍匐型草种（风机与箱变之间埋电缆区域除外）；以塔基为中心7-9m范围内，种植灌木，采用非根系型植物；以塔基为中心9-14m及实际影响范围内，恢复农用地植物。</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③线路区：该项目线路扰动范围内原有土地种植作物等，恢复其原有植被；原有土地为荒草地的，播撒当地常见植被的草籽予以植被恢复；其他临时占地种植树苗。</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杆塔：以杆塔线路为中心5m范围内（塔架底部及周围临时占地区域）覆土并播撒草种，选择耐旱耐踩踏草种。</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④施工道路区：项目施工结束后，终期道路作为风电场区检修道路，其他临时占地分地段选择植被恢复。</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道路：施工结束后，道路恢复至5.0m宽，其余两侧临时占地进行复耕。</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土质边坡：缓坡采用植草护坡，陡坡采用网格生态坡。</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土夹石边坡：缓坡采用直接播撒，或者客土喷播；陡坡采用网格生态护坡。</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岩石边坡：缓坡采用网格生态护坡；陡坡采用工程护坡方式。</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⑤弃土。风机机组基础清表、挖方时，将表层土与下层土分开，保留表土，集中土方，保存时候进行覆盖，施工结束后表层土用于植被恢复。</w:t>
      </w:r>
      <w:r>
        <w:rPr>
          <w:rFonts w:hint="eastAsia" w:ascii="仿宋_GB2312" w:eastAsia="仿宋_GB2312" w:cs="仿宋_GB2312"/>
          <w:sz w:val="32"/>
          <w:szCs w:val="32"/>
          <w:lang w:val="en-US" w:eastAsia="zh-CN"/>
        </w:rPr>
        <w:t>合理规划和设计，施工中对土地的占用达到最少程度；坚持按预防为主、规划先行、因地制宜和因害设防的原则，将工程对生态环境的影响减少到最低程度。严格按照设计规划指定位置来放置施工机械设备，尽量减少大型机械施工，有效保护植被。项目建设过程中遵照工程措施和植物措施相结合，永久措施与临时措施相结合的原则，弃渣集中堆放、堆土拦挡、修建排水沟、表土剥离、履土平整等工程措施，和播撒草籽、种植灌木等植物措施，促进工程施工后项目区的生态修复。</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6）水土流失、防风防沙措施。秦皇岛市昌黎县位于沙区，该项目升压站、部分风电机组位于沙化区范围，按照《中华人民共和国防沙治沙法》（2018）及《河北省生态环境厅办公室关于进一步做好沙区建设项目环境影响评价工作的通知》（冀环办字函[2023]326号）中有关规定，项目运营过程中，加强沙化土地区的植被保护、减缓或避免沙化趋势，主要措施：①硬化及防渗维护：风电场场地、道路硬化路面定期修补破损；事故油池、保持防渗完好，防止径流下渗、冲刷扰动。②风机发电机组位置区域及检修道路全部硬化，严格按照检修路线行走，严控检修范围。③加强风机发电机组周边区域和检修道路两侧的绿化，不破坏周边现有植被，减缓或避免沙化进程。④区域植被恢复管护。风机平台周边、施工便道两侧、临时占地已恢复的乔灌草植被常态化养护：浇水、补植、除草、病虫害防治，遇有病死及时补种。</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16" w:firstLineChars="200"/>
        <w:textAlignment w:val="auto"/>
        <w:rPr>
          <w:rFonts w:hint="eastAsia" w:ascii="仿宋_GB2312" w:eastAsia="仿宋_GB2312" w:cs="仿宋_GB2312"/>
          <w:spacing w:val="-6"/>
          <w:sz w:val="32"/>
          <w:szCs w:val="32"/>
        </w:rPr>
      </w:pPr>
      <w:r>
        <w:rPr>
          <w:rFonts w:hint="eastAsia" w:ascii="仿宋_GB2312" w:eastAsia="仿宋_GB2312" w:cs="仿宋_GB2312"/>
          <w:spacing w:val="-6"/>
          <w:sz w:val="32"/>
          <w:szCs w:val="32"/>
          <w:lang w:val="en-US" w:eastAsia="zh-CN"/>
        </w:rPr>
        <w:t>6.</w:t>
      </w:r>
      <w:r>
        <w:rPr>
          <w:rFonts w:hint="eastAsia" w:ascii="仿宋_GB2312" w:eastAsia="仿宋_GB2312" w:cs="仿宋_GB2312"/>
          <w:spacing w:val="-6"/>
          <w:sz w:val="32"/>
          <w:szCs w:val="32"/>
        </w:rPr>
        <w:t>强化环境风险防范措施。</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1）严禁野外生火、乱丢烟头等可能引发火灾的不良行为；在秋收季节火灾高风险时期严禁一切野外用火；对进入风电场区的人员进行必要的监管，对进入区的人员及车辆进行细致的检查工作，防止各类火种入场。</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（2）加强对各种仪器设备的管理并定期检修，及时发现和消除火灾隐患。</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firstLineChars="200"/>
        <w:textAlignment w:val="auto"/>
        <w:rPr>
          <w:rFonts w:hint="eastAsia" w:ascii="仿宋_GB2312" w:eastAsia="仿宋_GB2312" w:cs="仿宋_GB2312"/>
          <w:spacing w:val="-6"/>
          <w:sz w:val="32"/>
          <w:szCs w:val="32"/>
        </w:rPr>
      </w:pPr>
      <w:r>
        <w:rPr>
          <w:rFonts w:hint="eastAsia" w:ascii="Times New Roman" w:hAnsi="Times New Roman" w:eastAsia="仿宋" w:cs="Times New Roman"/>
          <w:color w:val="auto"/>
          <w:sz w:val="32"/>
          <w:szCs w:val="32"/>
          <w:highlight w:val="none"/>
          <w:lang w:val="en-US" w:eastAsia="zh-CN"/>
        </w:rPr>
        <w:t>（3）建立严格的环境管理制度，加强对工作人员和运行管理人员的防火意识和宣传教育，成立防火工作领导小组，进行定期和随机监督检查，发现隐患及时解决，并采取一定的奖惩制度机制，对引起火灾的责任者追究行政和法律责任</w:t>
      </w:r>
      <w:r>
        <w:rPr>
          <w:rFonts w:hint="eastAsia" w:ascii="仿宋_GB2312" w:eastAsia="仿宋_GB2312" w:cs="仿宋_GB2312"/>
          <w:spacing w:val="-6"/>
          <w:sz w:val="32"/>
          <w:szCs w:val="32"/>
        </w:rPr>
        <w:t>。</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outlineLvl w:val="1"/>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（三）加强服务期满后，生态保护恢复措施。</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该项目运营期满后，按国家相关要求，将对风机组件进行全部拆除或者更换。</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1.该项目服务期满后，对大气影响主要为施工扬尘、施工机械与车辆尾气。该工程施工活动范围远离环境敏感点，无大气环境保护目标，且区域开阔，废气污染物气象扩散条件好。施工前检修设备和车辆，保证设备正常稳定运行，燃用高标准清洁燃油，设备和车辆不超负荷运行，从源头减少设备和车辆废气对环境的影响。在拆除施工中采取洒水抑尘，开挖后土方集中堆放，采取苫盖及拦挡等抑尘措施。</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2.该项目服务期满拆除工程持续时间较短，不设临时办公和生活营地，施工生活废水依托周边村庄处理。施工废水主要为施工机械冲洗废水，经防渗沉淀池沉淀后用于场地喷洒降尘。</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3.该项目服务期满后噪声源主要为施工机械噪声、施工作业噪声和交通噪声。</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拆除施工设备相对建设施工设备数量减少，拆除施工设施选用低噪声设备，施工区域设置围挡，合理安排施工时间，尽量减少夜间及中午施工。拆除施工噪声对边界贡献须执行《建筑施工噪声排放标准》（GB 12523-2025）标准。</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4.固体废物影响分析</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项目服务期满拆除工程的固体废物主要为废风机叶片、废基座、废润滑油、废液压油。废风机叶片及废基座送厂家回收，废润滑油、废液压油暂存于危险废物暂存间内，定期送有资质单位处置。</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5.该项目服务期满后，对风机组件等进行全部拆除，并进行生态恢复，主要恢复措施：</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（1）掘除硬化地面基础，对场地进行恢复；</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（2）拆除过程中尽量减小对土地的扰动，对项目区施工检修道路进行土地整治，恢复使用前的地类及生态；</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（3）掘除混凝土的基础部分场地应进行恢复，恢复后的场地进行洒水、压实，以固结地表，防止产生扬尘和对土壤的风蚀。</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（4）对扰动的地表恢复农业种植，植被得到恢复，最大限度减小对生态环境的影响。</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综上，该项目服务期满，风电机组退役须执行《退役风电机组利用处置污染控制技术规范》（DB 13/T 6251-2025）要求。</w:t>
      </w:r>
    </w:p>
    <w:p>
      <w:pPr>
        <w:keepNext w:val="0"/>
        <w:keepLines w:val="0"/>
        <w:pageBreakBefore w:val="0"/>
        <w:widowControl/>
        <w:kinsoku/>
        <w:wordWrap/>
        <w:overflowPunct/>
        <w:topLinePunct w:val="0"/>
        <w:autoSpaceDE/>
        <w:autoSpaceDN/>
        <w:bidi w:val="0"/>
        <w:adjustRightInd w:val="0"/>
        <w:snapToGrid w:val="0"/>
        <w:spacing w:line="380" w:lineRule="exact"/>
        <w:ind w:firstLine="640" w:firstLineChars="200"/>
        <w:textAlignment w:val="auto"/>
        <w:rPr>
          <w:rFonts w:hint="eastAsia" w:ascii="仿宋_GB2312" w:eastAsia="仿宋_GB2312" w:cs="仿宋_GB2312"/>
          <w:color w:val="000000"/>
          <w:spacing w:val="-6"/>
          <w:kern w:val="0"/>
          <w:sz w:val="32"/>
          <w:szCs w:val="32"/>
        </w:rPr>
      </w:pPr>
      <w:r>
        <w:rPr>
          <w:rFonts w:hint="eastAsia" w:ascii="仿宋_GB2312" w:eastAsia="仿宋_GB2312" w:cs="仿宋_GB2312"/>
          <w:color w:val="000000"/>
          <w:kern w:val="0"/>
          <w:sz w:val="32"/>
          <w:szCs w:val="32"/>
          <w:lang w:eastAsia="zh-CN"/>
        </w:rPr>
        <w:t>（四）</w:t>
      </w:r>
      <w:r>
        <w:rPr>
          <w:rFonts w:hint="eastAsia" w:ascii="仿宋_GB2312" w:eastAsia="仿宋_GB2312" w:cs="仿宋_GB2312"/>
          <w:color w:val="000000"/>
          <w:kern w:val="0"/>
          <w:sz w:val="32"/>
          <w:szCs w:val="32"/>
        </w:rPr>
        <w:t>认真落实《报告表》其他环境管理要求。</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eastAsia="zh-CN"/>
        </w:rPr>
        <w:t>三</w:t>
      </w:r>
      <w:r>
        <w:rPr>
          <w:rFonts w:hint="eastAsia" w:ascii="仿宋_GB2312" w:eastAsia="仿宋_GB2312" w:cs="仿宋_GB2312"/>
          <w:color w:val="000000"/>
          <w:kern w:val="0"/>
          <w:sz w:val="32"/>
          <w:szCs w:val="32"/>
          <w:lang w:val="en-US" w:eastAsia="zh-CN"/>
        </w:rPr>
        <w:t>.</w:t>
      </w:r>
      <w:r>
        <w:rPr>
          <w:rFonts w:hint="eastAsia" w:ascii="仿宋_GB2312" w:eastAsia="仿宋_GB2312" w:cs="仿宋_GB2312"/>
          <w:color w:val="000000"/>
          <w:kern w:val="0"/>
          <w:sz w:val="32"/>
          <w:szCs w:val="32"/>
        </w:rPr>
        <w:t>认真落实《报告表》中规定的污染防治措施及清洁生产措施</w:t>
      </w:r>
      <w:r>
        <w:rPr>
          <w:rFonts w:hint="eastAsia" w:ascii="仿宋_GB2312" w:eastAsia="仿宋_GB2312" w:cs="仿宋_GB2312"/>
          <w:color w:val="000000"/>
          <w:kern w:val="0"/>
          <w:sz w:val="32"/>
          <w:szCs w:val="32"/>
          <w:lang w:eastAsia="zh-CN"/>
        </w:rPr>
        <w:t>，并完善排污许可的衔接工作</w:t>
      </w:r>
      <w:r>
        <w:rPr>
          <w:rFonts w:hint="eastAsia" w:ascii="仿宋_GB2312" w:eastAsia="仿宋_GB2312" w:cs="仿宋_GB2312"/>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380" w:lineRule="exact"/>
        <w:ind w:right="0" w:firstLine="640" w:firstLineChars="200"/>
        <w:textAlignment w:val="auto"/>
        <w:rPr>
          <w:rFonts w:hint="eastAsia" w:ascii="仿宋_GB2312" w:eastAsia="仿宋_GB2312" w:cs="仿宋_GB2312"/>
          <w:spacing w:val="-6"/>
          <w:sz w:val="32"/>
          <w:szCs w:val="32"/>
        </w:rPr>
      </w:pPr>
      <w:r>
        <w:rPr>
          <w:rFonts w:hint="eastAsia" w:ascii="仿宋_GB2312" w:eastAsia="仿宋_GB2312" w:cs="仿宋_GB2312"/>
          <w:color w:val="000000"/>
          <w:kern w:val="0"/>
          <w:sz w:val="32"/>
          <w:szCs w:val="32"/>
          <w:lang w:eastAsia="zh-CN"/>
        </w:rPr>
        <w:t>四</w:t>
      </w:r>
      <w:r>
        <w:rPr>
          <w:rFonts w:hint="eastAsia" w:ascii="仿宋_GB2312" w:eastAsia="仿宋_GB2312" w:cs="仿宋_GB2312"/>
          <w:color w:val="000000"/>
          <w:kern w:val="0"/>
          <w:sz w:val="32"/>
          <w:szCs w:val="32"/>
          <w:lang w:val="en-US" w:eastAsia="zh-CN"/>
        </w:rPr>
        <w:t>.</w:t>
      </w:r>
      <w:r>
        <w:rPr>
          <w:rFonts w:hint="eastAsia" w:ascii="仿宋_GB2312" w:eastAsia="仿宋_GB2312" w:cs="仿宋_GB2312"/>
          <w:spacing w:val="-6"/>
          <w:sz w:val="32"/>
          <w:szCs w:val="32"/>
        </w:rPr>
        <w:t>在项目运营过程中，应建立畅通的公众参与平台，及时解决公众关注的环境问题，满足公众合理的环境诉求。定期发布企业环境信息，主动接受社会监督。</w:t>
      </w:r>
    </w:p>
    <w:p>
      <w:pPr>
        <w:pStyle w:val="6"/>
        <w:keepNext w:val="0"/>
        <w:keepLines w:val="0"/>
        <w:pageBreakBefore w:val="0"/>
        <w:widowControl/>
        <w:kinsoku/>
        <w:wordWrap/>
        <w:overflowPunct/>
        <w:topLinePunct w:val="0"/>
        <w:autoSpaceDE/>
        <w:autoSpaceDN/>
        <w:bidi w:val="0"/>
        <w:adjustRightInd w:val="0"/>
        <w:snapToGrid w:val="0"/>
        <w:spacing w:line="380" w:lineRule="exact"/>
        <w:ind w:firstLine="616" w:firstLineChars="200"/>
        <w:jc w:val="left"/>
        <w:textAlignment w:val="auto"/>
        <w:rPr>
          <w:rFonts w:hint="eastAsia" w:ascii="仿宋_GB2312" w:eastAsia="仿宋_GB2312" w:cs="仿宋_GB2312"/>
          <w:spacing w:val="-6"/>
          <w:sz w:val="32"/>
          <w:szCs w:val="32"/>
        </w:rPr>
      </w:pPr>
      <w:r>
        <w:rPr>
          <w:rFonts w:hint="eastAsia" w:ascii="仿宋_GB2312" w:eastAsia="仿宋_GB2312" w:cs="仿宋_GB2312"/>
          <w:spacing w:val="-6"/>
          <w:sz w:val="32"/>
          <w:szCs w:val="32"/>
          <w:lang w:eastAsia="zh-CN"/>
        </w:rPr>
        <w:t>五</w:t>
      </w:r>
      <w:r>
        <w:rPr>
          <w:rFonts w:hint="eastAsia" w:ascii="仿宋_GB2312" w:eastAsia="仿宋_GB2312" w:cs="仿宋_GB2312"/>
          <w:spacing w:val="-6"/>
          <w:sz w:val="32"/>
          <w:szCs w:val="32"/>
          <w:lang w:val="en-US" w:eastAsia="zh-CN"/>
        </w:rPr>
        <w:t>.</w:t>
      </w:r>
      <w:r>
        <w:rPr>
          <w:rFonts w:hint="eastAsia" w:ascii="仿宋_GB2312" w:eastAsia="仿宋_GB2312" w:cs="仿宋_GB2312"/>
          <w:spacing w:val="-6"/>
          <w:sz w:val="32"/>
          <w:szCs w:val="32"/>
          <w:lang w:eastAsia="zh-CN"/>
        </w:rPr>
        <w:t>该</w:t>
      </w:r>
      <w:r>
        <w:rPr>
          <w:rFonts w:hint="eastAsia" w:ascii="仿宋_GB2312" w:eastAsia="仿宋_GB2312" w:cs="仿宋_GB2312"/>
          <w:spacing w:val="-6"/>
          <w:sz w:val="32"/>
          <w:szCs w:val="32"/>
        </w:rPr>
        <w:t>项目建设必须严格执行配套建设的环境保护设施与主体工程同时设计、同时施工、同时投产使用的环境保护“三同时”制度。项目竣工后，按规定开展竣工环境保护验收。验收合格后，项目方可正式投入生产，未经验收或者验收不合格的，不得投入生产或者使用。</w:t>
      </w:r>
      <w:r>
        <w:rPr>
          <w:rFonts w:hint="eastAsia" w:ascii="仿宋_GB2312" w:eastAsia="仿宋_GB2312" w:cs="仿宋_GB2312"/>
          <w:spacing w:val="-6"/>
          <w:sz w:val="32"/>
          <w:szCs w:val="32"/>
          <w:lang w:eastAsia="zh-CN"/>
        </w:rPr>
        <w:t>该</w:t>
      </w:r>
      <w:r>
        <w:rPr>
          <w:rFonts w:hint="eastAsia" w:ascii="仿宋_GB2312" w:eastAsia="仿宋_GB2312" w:cs="仿宋_GB2312"/>
          <w:spacing w:val="-6"/>
          <w:sz w:val="32"/>
          <w:szCs w:val="32"/>
        </w:rPr>
        <w:t>项目环境影响评价文件经批准后，如设计和施工变化造成工程性质、规模、工艺、防治污染的措施发生重大变动的，应当在调整前重新报批本项目环境影响评价文件。工程自批复之日起五年后方决定开工建设的，需将环评文件报我局重新审核。</w:t>
      </w:r>
    </w:p>
    <w:p>
      <w:pPr>
        <w:pStyle w:val="6"/>
        <w:keepNext w:val="0"/>
        <w:keepLines w:val="0"/>
        <w:pageBreakBefore w:val="0"/>
        <w:widowControl/>
        <w:kinsoku/>
        <w:wordWrap/>
        <w:overflowPunct/>
        <w:topLinePunct w:val="0"/>
        <w:autoSpaceDE/>
        <w:autoSpaceDN/>
        <w:bidi w:val="0"/>
        <w:adjustRightInd w:val="0"/>
        <w:snapToGrid w:val="0"/>
        <w:spacing w:line="380" w:lineRule="exact"/>
        <w:ind w:firstLine="616" w:firstLineChars="200"/>
        <w:jc w:val="left"/>
        <w:textAlignment w:val="auto"/>
        <w:rPr>
          <w:rFonts w:hint="eastAsia" w:ascii="仿宋_GB2312" w:eastAsia="仿宋_GB2312" w:cs="仿宋_GB2312"/>
          <w:color w:val="auto"/>
          <w:sz w:val="32"/>
          <w:szCs w:val="32"/>
        </w:rPr>
      </w:pPr>
      <w:r>
        <w:rPr>
          <w:rFonts w:hint="eastAsia" w:ascii="仿宋_GB2312" w:eastAsia="仿宋_GB2312" w:cs="仿宋_GB2312"/>
          <w:spacing w:val="-6"/>
          <w:sz w:val="32"/>
          <w:szCs w:val="32"/>
          <w:lang w:eastAsia="zh-CN"/>
        </w:rPr>
        <w:t>六</w:t>
      </w:r>
      <w:r>
        <w:rPr>
          <w:rFonts w:hint="eastAsia" w:ascii="仿宋_GB2312" w:eastAsia="仿宋_GB2312" w:cs="仿宋_GB2312"/>
          <w:spacing w:val="-6"/>
          <w:sz w:val="32"/>
          <w:szCs w:val="32"/>
          <w:lang w:val="en-US" w:eastAsia="zh-CN"/>
        </w:rPr>
        <w:t>.</w:t>
      </w:r>
      <w:r>
        <w:rPr>
          <w:rFonts w:hint="eastAsia" w:ascii="仿宋_GB2312" w:eastAsia="仿宋_GB2312" w:cs="仿宋_GB2312"/>
          <w:spacing w:val="-6"/>
          <w:sz w:val="32"/>
          <w:szCs w:val="32"/>
        </w:rPr>
        <w:t>你单位在接到本批复后的10个工作日内，须将环评报告表及其批复送秦皇岛市生态环境局</w:t>
      </w:r>
      <w:r>
        <w:rPr>
          <w:rFonts w:hint="eastAsia" w:ascii="仿宋_GB2312" w:eastAsia="仿宋_GB2312" w:cs="仿宋_GB2312"/>
          <w:spacing w:val="-6"/>
          <w:sz w:val="32"/>
          <w:szCs w:val="32"/>
          <w:lang w:eastAsia="zh-CN"/>
        </w:rPr>
        <w:t>昌黎县</w:t>
      </w:r>
      <w:r>
        <w:rPr>
          <w:rFonts w:hint="eastAsia" w:ascii="仿宋_GB2312" w:eastAsia="仿宋_GB2312" w:cs="仿宋_GB2312"/>
          <w:spacing w:val="-6"/>
          <w:sz w:val="32"/>
          <w:szCs w:val="32"/>
        </w:rPr>
        <w:t>分局等相关部门，日常监督管理由秦皇岛市生态环境局</w:t>
      </w:r>
      <w:r>
        <w:rPr>
          <w:rFonts w:hint="eastAsia" w:ascii="仿宋_GB2312" w:eastAsia="仿宋_GB2312" w:cs="仿宋_GB2312"/>
          <w:spacing w:val="-6"/>
          <w:sz w:val="32"/>
          <w:szCs w:val="32"/>
          <w:lang w:eastAsia="zh-CN"/>
        </w:rPr>
        <w:t>昌黎县</w:t>
      </w:r>
      <w:r>
        <w:rPr>
          <w:rFonts w:hint="eastAsia" w:ascii="仿宋_GB2312" w:eastAsia="仿宋_GB2312" w:cs="仿宋_GB2312"/>
          <w:spacing w:val="-6"/>
          <w:sz w:val="32"/>
          <w:szCs w:val="32"/>
        </w:rPr>
        <w:t>分局负责。建设单位须定期向秦皇岛市生态环境局</w:t>
      </w:r>
      <w:r>
        <w:rPr>
          <w:rFonts w:hint="eastAsia" w:ascii="仿宋_GB2312" w:eastAsia="仿宋_GB2312" w:cs="仿宋_GB2312"/>
          <w:spacing w:val="-6"/>
          <w:sz w:val="32"/>
          <w:szCs w:val="32"/>
          <w:lang w:eastAsia="zh-CN"/>
        </w:rPr>
        <w:t>昌黎县</w:t>
      </w:r>
      <w:r>
        <w:rPr>
          <w:rFonts w:hint="eastAsia" w:ascii="仿宋_GB2312" w:eastAsia="仿宋_GB2312" w:cs="仿宋_GB2312"/>
          <w:spacing w:val="-6"/>
          <w:sz w:val="32"/>
          <w:szCs w:val="32"/>
        </w:rPr>
        <w:t>分局报告“三同时”完成情况。并按规定接受各级生态环境行政主管部门的日常监督检查。</w:t>
      </w:r>
    </w:p>
    <w:p>
      <w:pPr>
        <w:pStyle w:val="5"/>
        <w:keepNext w:val="0"/>
        <w:keepLines w:val="0"/>
        <w:pageBreakBefore w:val="0"/>
        <w:widowControl/>
        <w:kinsoku/>
        <w:wordWrap/>
        <w:overflowPunct/>
        <w:topLinePunct w:val="0"/>
        <w:autoSpaceDE/>
        <w:autoSpaceDN/>
        <w:bidi w:val="0"/>
        <w:adjustRightInd w:val="0"/>
        <w:snapToGrid w:val="0"/>
        <w:spacing w:line="380" w:lineRule="exact"/>
        <w:ind w:firstLine="4800" w:firstLineChars="1500"/>
        <w:textAlignment w:val="auto"/>
        <w:outlineLvl w:val="9"/>
        <w:rPr>
          <w:rFonts w:hint="eastAsia" w:ascii="仿宋_GB2312" w:eastAsia="仿宋_GB2312" w:cs="仿宋_GB2312"/>
          <w:color w:val="auto"/>
          <w:sz w:val="32"/>
          <w:szCs w:val="32"/>
        </w:rPr>
      </w:pPr>
    </w:p>
    <w:p>
      <w:pPr>
        <w:pStyle w:val="5"/>
        <w:keepNext w:val="0"/>
        <w:keepLines w:val="0"/>
        <w:pageBreakBefore w:val="0"/>
        <w:widowControl/>
        <w:tabs>
          <w:tab w:val="left" w:pos="5892"/>
        </w:tabs>
        <w:kinsoku/>
        <w:wordWrap/>
        <w:overflowPunct/>
        <w:topLinePunct w:val="0"/>
        <w:autoSpaceDE/>
        <w:autoSpaceDN/>
        <w:bidi w:val="0"/>
        <w:adjustRightInd w:val="0"/>
        <w:snapToGrid w:val="0"/>
        <w:spacing w:line="380" w:lineRule="exact"/>
        <w:ind w:firstLine="4800" w:firstLineChars="1500"/>
        <w:textAlignment w:val="auto"/>
        <w:outlineLvl w:val="9"/>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ab/>
      </w:r>
    </w:p>
    <w:p>
      <w:pPr>
        <w:pStyle w:val="5"/>
        <w:keepNext w:val="0"/>
        <w:keepLines w:val="0"/>
        <w:pageBreakBefore w:val="0"/>
        <w:widowControl/>
        <w:kinsoku/>
        <w:wordWrap/>
        <w:overflowPunct/>
        <w:topLinePunct w:val="0"/>
        <w:autoSpaceDE/>
        <w:autoSpaceDN/>
        <w:bidi w:val="0"/>
        <w:adjustRightInd w:val="0"/>
        <w:snapToGrid w:val="0"/>
        <w:spacing w:line="380" w:lineRule="exact"/>
        <w:ind w:firstLine="4800" w:firstLineChars="1500"/>
        <w:textAlignment w:val="auto"/>
        <w:outlineLvl w:val="9"/>
        <w:rPr>
          <w:rFonts w:hint="eastAsia" w:ascii="仿宋_GB2312" w:eastAsia="仿宋_GB2312" w:cs="仿宋_GB2312"/>
          <w:color w:val="auto"/>
          <w:sz w:val="32"/>
          <w:szCs w:val="32"/>
        </w:rPr>
      </w:pPr>
    </w:p>
    <w:p>
      <w:pPr>
        <w:pStyle w:val="5"/>
        <w:keepNext w:val="0"/>
        <w:keepLines w:val="0"/>
        <w:pageBreakBefore w:val="0"/>
        <w:widowControl/>
        <w:kinsoku/>
        <w:wordWrap/>
        <w:overflowPunct/>
        <w:topLinePunct w:val="0"/>
        <w:autoSpaceDE/>
        <w:autoSpaceDN/>
        <w:bidi w:val="0"/>
        <w:adjustRightInd w:val="0"/>
        <w:snapToGrid w:val="0"/>
        <w:spacing w:line="380" w:lineRule="exact"/>
        <w:ind w:firstLine="4800" w:firstLineChars="1500"/>
        <w:textAlignment w:val="auto"/>
        <w:outlineLvl w:val="9"/>
        <w:rPr>
          <w:rFonts w:hint="eastAsia" w:ascii="仿宋_GB2312" w:eastAsia="仿宋_GB2312" w:cs="仿宋_GB2312"/>
          <w:color w:val="auto"/>
          <w:sz w:val="32"/>
          <w:szCs w:val="32"/>
        </w:rPr>
      </w:pPr>
    </w:p>
    <w:p>
      <w:pPr>
        <w:pStyle w:val="5"/>
        <w:keepNext w:val="0"/>
        <w:keepLines w:val="0"/>
        <w:pageBreakBefore w:val="0"/>
        <w:widowControl/>
        <w:kinsoku/>
        <w:wordWrap/>
        <w:overflowPunct/>
        <w:topLinePunct w:val="0"/>
        <w:autoSpaceDE/>
        <w:autoSpaceDN/>
        <w:bidi w:val="0"/>
        <w:adjustRightInd w:val="0"/>
        <w:snapToGrid w:val="0"/>
        <w:spacing w:line="380" w:lineRule="exact"/>
        <w:ind w:firstLine="4800" w:firstLineChars="1500"/>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秦皇岛市行政审批局</w:t>
      </w:r>
    </w:p>
    <w:p>
      <w:pPr>
        <w:pStyle w:val="5"/>
        <w:keepNext w:val="0"/>
        <w:keepLines w:val="0"/>
        <w:pageBreakBefore w:val="0"/>
        <w:widowControl/>
        <w:kinsoku/>
        <w:wordWrap/>
        <w:overflowPunct/>
        <w:topLinePunct w:val="0"/>
        <w:autoSpaceDE/>
        <w:autoSpaceDN/>
        <w:bidi w:val="0"/>
        <w:adjustRightInd w:val="0"/>
        <w:snapToGrid w:val="0"/>
        <w:spacing w:line="380" w:lineRule="exact"/>
        <w:ind w:firstLine="5120" w:firstLineChars="1600"/>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202</w:t>
      </w:r>
      <w:r>
        <w:rPr>
          <w:rFonts w:hint="default"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日</w:t>
      </w:r>
    </w:p>
    <w:p>
      <w:pPr>
        <w:pStyle w:val="5"/>
        <w:keepNext w:val="0"/>
        <w:keepLines w:val="0"/>
        <w:pageBreakBefore w:val="0"/>
        <w:kinsoku/>
        <w:wordWrap/>
        <w:overflowPunct/>
        <w:topLinePunct w:val="0"/>
        <w:autoSpaceDE/>
        <w:autoSpaceDN/>
        <w:bidi w:val="0"/>
        <w:spacing w:line="560" w:lineRule="exact"/>
        <w:textAlignment w:val="auto"/>
        <w:rPr>
          <w:rFonts w:hint="eastAsia"/>
        </w:rPr>
      </w:pPr>
    </w:p>
    <w:sectPr>
      <w:footerReference r:id="rId3" w:type="default"/>
      <w:pgSz w:w="11906" w:h="16838"/>
      <w:pgMar w:top="2098" w:right="1474" w:bottom="181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B1"/>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Arial">
    <w:altName w:val="DejaVu Sans"/>
    <w:panose1 w:val="00000000000000000000"/>
    <w:charset w:val="00"/>
    <w:family w:val="auto"/>
    <w:pitch w:val="default"/>
    <w:sig w:usb0="00000000" w:usb1="00000000" w:usb2="00000000" w:usb3="00000000" w:csb0="0000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499" cy="230251"/>
                      </a:xfrm>
                      <a:prstGeom prst="rect">
                        <a:avLst/>
                      </a:prstGeom>
                      <a:noFill/>
                      <a:ln w="6350" cap="flat" cmpd="sng">
                        <a:noFill/>
                        <a:prstDash val="solid"/>
                        <a:round/>
                      </a:ln>
                    </wps:spPr>
                    <wps:txbx>
                      <w:txbxContent>
                        <w:p>
                          <w:pPr>
                            <w:pStyle w:val="10"/>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M9ueqfWAAAAAwEAAA8A&#10;AAAAAAAAAQAgAAAAOAAAAGRycy9kb3ducmV2LnhtbFBLAQIUABQAAAAIAIdO4kDKpeW+AwIAAPQD&#10;AAAOAAAAAAAAAAEAIAAAADsBAABkcnMvZTJvRG9jLnhtbFBLBQYAAAAABgAGAFkBAACwBQAAAAA=&#10;">
              <v:fill on="f" focussize="0,0"/>
              <v:stroke on="f" weight="0.5pt" joinstyle="round"/>
              <v:imagedata o:title=""/>
              <o:lock v:ext="edit" aspectratio="f"/>
              <v:textbox inset="0mm,0mm,0mm,0mm" style="mso-fit-shape-to-text:t;">
                <w:txbxContent>
                  <w:p>
                    <w:pPr>
                      <w:pStyle w:val="10"/>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81CB"/>
    <w:multiLevelType w:val="singleLevel"/>
    <w:tmpl w:val="DEFE81C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MTY0YmQwOTA5MjNiMmY2NmFkOWRlNzVkYWJkNmRmOTEifQ=="/>
  </w:docVars>
  <w:rsids>
    <w:rsidRoot w:val="00000000"/>
    <w:rsid w:val="17F7B25E"/>
    <w:rsid w:val="1BBF2D5C"/>
    <w:rsid w:val="2BEB944B"/>
    <w:rsid w:val="2FFF782C"/>
    <w:rsid w:val="35EFBC04"/>
    <w:rsid w:val="38E8FF7B"/>
    <w:rsid w:val="3B7BA279"/>
    <w:rsid w:val="3BB99701"/>
    <w:rsid w:val="3DC79729"/>
    <w:rsid w:val="3E5C24FF"/>
    <w:rsid w:val="3EAEC414"/>
    <w:rsid w:val="3FBB0DE1"/>
    <w:rsid w:val="3FBF35C6"/>
    <w:rsid w:val="3FCB4060"/>
    <w:rsid w:val="3FDCD0B2"/>
    <w:rsid w:val="3FFC2744"/>
    <w:rsid w:val="44554CA3"/>
    <w:rsid w:val="44C1472D"/>
    <w:rsid w:val="4A2D6BD2"/>
    <w:rsid w:val="4D6D00E7"/>
    <w:rsid w:val="4F1BBC38"/>
    <w:rsid w:val="4FF35C1E"/>
    <w:rsid w:val="517FD314"/>
    <w:rsid w:val="53F0534E"/>
    <w:rsid w:val="54AB22FE"/>
    <w:rsid w:val="5BFF8931"/>
    <w:rsid w:val="5DABFE1E"/>
    <w:rsid w:val="5DD299D0"/>
    <w:rsid w:val="5DFF93D5"/>
    <w:rsid w:val="5E3E8BEE"/>
    <w:rsid w:val="5EBE9900"/>
    <w:rsid w:val="5EBF1957"/>
    <w:rsid w:val="5EFA867A"/>
    <w:rsid w:val="5F1F325E"/>
    <w:rsid w:val="5FEE0B0F"/>
    <w:rsid w:val="5FEFCBD2"/>
    <w:rsid w:val="66EB58B6"/>
    <w:rsid w:val="67C391FA"/>
    <w:rsid w:val="68FDDAB8"/>
    <w:rsid w:val="6BEF7E63"/>
    <w:rsid w:val="6DFE3C95"/>
    <w:rsid w:val="6E7F5AAB"/>
    <w:rsid w:val="6EBF5084"/>
    <w:rsid w:val="6FBF0C58"/>
    <w:rsid w:val="6FC8DCA8"/>
    <w:rsid w:val="6FFFA01D"/>
    <w:rsid w:val="73FFA3B7"/>
    <w:rsid w:val="73FFE897"/>
    <w:rsid w:val="76FBFB98"/>
    <w:rsid w:val="795F249C"/>
    <w:rsid w:val="79AC952E"/>
    <w:rsid w:val="7B376613"/>
    <w:rsid w:val="7B7A5C1C"/>
    <w:rsid w:val="7BE74623"/>
    <w:rsid w:val="7BFF3E47"/>
    <w:rsid w:val="7D46FFAB"/>
    <w:rsid w:val="7D6F0AA1"/>
    <w:rsid w:val="7DCB194D"/>
    <w:rsid w:val="7E5FF721"/>
    <w:rsid w:val="7E7E4DED"/>
    <w:rsid w:val="7EB7C673"/>
    <w:rsid w:val="7EBB26C9"/>
    <w:rsid w:val="7EF9645B"/>
    <w:rsid w:val="7F393C55"/>
    <w:rsid w:val="7F3B8A71"/>
    <w:rsid w:val="7F3FFD04"/>
    <w:rsid w:val="7F566ACC"/>
    <w:rsid w:val="7F789F81"/>
    <w:rsid w:val="7FB696A0"/>
    <w:rsid w:val="7FBBA474"/>
    <w:rsid w:val="7FBD97F8"/>
    <w:rsid w:val="7FDFEF51"/>
    <w:rsid w:val="7FEECB44"/>
    <w:rsid w:val="7FF67754"/>
    <w:rsid w:val="8798BBB3"/>
    <w:rsid w:val="8FD899DF"/>
    <w:rsid w:val="977ECBCA"/>
    <w:rsid w:val="9BF76EF2"/>
    <w:rsid w:val="9CFB1913"/>
    <w:rsid w:val="9FF4C347"/>
    <w:rsid w:val="A3EFA965"/>
    <w:rsid w:val="ADAFD772"/>
    <w:rsid w:val="AFEC8E3A"/>
    <w:rsid w:val="B7DBF128"/>
    <w:rsid w:val="BC6E0E80"/>
    <w:rsid w:val="BDF48122"/>
    <w:rsid w:val="BDFCBD20"/>
    <w:rsid w:val="BDFEE032"/>
    <w:rsid w:val="BE7FF993"/>
    <w:rsid w:val="C73D3B34"/>
    <w:rsid w:val="C9AF9654"/>
    <w:rsid w:val="CE719735"/>
    <w:rsid w:val="CE7EDACF"/>
    <w:rsid w:val="CFD7CE30"/>
    <w:rsid w:val="D56E0E67"/>
    <w:rsid w:val="D776AEC6"/>
    <w:rsid w:val="D7FF0EF1"/>
    <w:rsid w:val="DA691682"/>
    <w:rsid w:val="DA6D7FDB"/>
    <w:rsid w:val="DCF38FF0"/>
    <w:rsid w:val="DE3FFDF0"/>
    <w:rsid w:val="DF313C62"/>
    <w:rsid w:val="DF9B43A5"/>
    <w:rsid w:val="DFF9CCD4"/>
    <w:rsid w:val="E3FC5124"/>
    <w:rsid w:val="E4FA355C"/>
    <w:rsid w:val="E5A772D9"/>
    <w:rsid w:val="E5BFDE7D"/>
    <w:rsid w:val="E5FE7BA8"/>
    <w:rsid w:val="EBBDC8E4"/>
    <w:rsid w:val="ED1F72E1"/>
    <w:rsid w:val="EDFBE06C"/>
    <w:rsid w:val="EDFD4D8E"/>
    <w:rsid w:val="EEBB010D"/>
    <w:rsid w:val="EEBEBCD0"/>
    <w:rsid w:val="EF5DD791"/>
    <w:rsid w:val="EFBF1E3B"/>
    <w:rsid w:val="F175DA1D"/>
    <w:rsid w:val="F52FA40D"/>
    <w:rsid w:val="F6DD97F2"/>
    <w:rsid w:val="F6FB59F0"/>
    <w:rsid w:val="F6FF8A66"/>
    <w:rsid w:val="F73E728F"/>
    <w:rsid w:val="F7AD4F3E"/>
    <w:rsid w:val="F7D76623"/>
    <w:rsid w:val="F7DB5C52"/>
    <w:rsid w:val="FBBEF163"/>
    <w:rsid w:val="FBCF0807"/>
    <w:rsid w:val="FBDD0099"/>
    <w:rsid w:val="FBE91B67"/>
    <w:rsid w:val="FBFBC3CF"/>
    <w:rsid w:val="FBFD2850"/>
    <w:rsid w:val="FBFD49B1"/>
    <w:rsid w:val="FBFF9E24"/>
    <w:rsid w:val="FD959668"/>
    <w:rsid w:val="FD9BDE07"/>
    <w:rsid w:val="FDFCAB76"/>
    <w:rsid w:val="FDFCEE4F"/>
    <w:rsid w:val="FEABA851"/>
    <w:rsid w:val="FEF76D25"/>
    <w:rsid w:val="FEFB036B"/>
    <w:rsid w:val="FEFDCAB9"/>
    <w:rsid w:val="FF7D433A"/>
    <w:rsid w:val="FFBEC435"/>
    <w:rsid w:val="FFBF3257"/>
    <w:rsid w:val="FFC7F166"/>
    <w:rsid w:val="FFD15E14"/>
    <w:rsid w:val="FFDA4CB0"/>
    <w:rsid w:val="FFDD3A47"/>
    <w:rsid w:val="FFEFE24E"/>
    <w:rsid w:val="FFFD1D0A"/>
    <w:rsid w:val="FFFD6A7E"/>
    <w:rsid w:val="FFFF976B"/>
    <w:rsid w:val="FFFFF6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ascii="宋体" w:eastAsia="宋体" w:cs="宋体"/>
      <w:b/>
      <w:bCs/>
      <w:kern w:val="44"/>
      <w:sz w:val="48"/>
      <w:szCs w:val="48"/>
      <w:lang w:val="en-US" w:eastAsia="zh-CN"/>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adjustRightInd w:val="0"/>
      <w:snapToGrid w:val="0"/>
      <w:spacing w:line="360" w:lineRule="auto"/>
    </w:pPr>
    <w:rPr>
      <w:sz w:val="24"/>
    </w:rPr>
  </w:style>
  <w:style w:type="paragraph" w:styleId="6">
    <w:name w:val="toc 1"/>
    <w:basedOn w:val="1"/>
    <w:next w:val="1"/>
    <w:qFormat/>
    <w:uiPriority w:val="0"/>
    <w:pPr>
      <w:adjustRightInd w:val="0"/>
      <w:snapToGrid w:val="0"/>
      <w:spacing w:line="280" w:lineRule="exact"/>
      <w:jc w:val="center"/>
    </w:pPr>
    <w:rPr>
      <w:sz w:val="24"/>
      <w:szCs w:val="20"/>
    </w:rPr>
  </w:style>
  <w:style w:type="paragraph" w:styleId="7">
    <w:name w:val="annotation text"/>
    <w:basedOn w:val="1"/>
    <w:uiPriority w:val="0"/>
    <w:pPr>
      <w:jc w:val="left"/>
    </w:pPr>
  </w:style>
  <w:style w:type="paragraph" w:styleId="8">
    <w:name w:val="Body Text"/>
    <w:basedOn w:val="1"/>
    <w:next w:val="9"/>
    <w:qFormat/>
    <w:uiPriority w:val="0"/>
    <w:pPr>
      <w:spacing w:line="240" w:lineRule="atLeast"/>
    </w:pPr>
    <w:rPr>
      <w:sz w:val="28"/>
    </w:rPr>
  </w:style>
  <w:style w:type="paragraph" w:customStyle="1" w:styleId="9">
    <w:name w:val="默认段落"/>
    <w:qFormat/>
    <w:uiPriority w:val="0"/>
    <w:pPr>
      <w:widowControl w:val="0"/>
      <w:jc w:val="both"/>
    </w:pPr>
    <w:rPr>
      <w:rFonts w:ascii="Calibri" w:hAnsi="Calibri" w:eastAsia="宋体" w:cs="Times New Roman"/>
      <w:kern w:val="2"/>
      <w:sz w:val="21"/>
      <w:szCs w:val="20"/>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2">
    <w:name w:val="Body Text First Indent"/>
    <w:basedOn w:val="8"/>
    <w:qFormat/>
    <w:uiPriority w:val="0"/>
    <w:pPr>
      <w:spacing w:after="120"/>
      <w:ind w:firstLine="100" w:firstLineChars="100"/>
    </w:pPr>
    <w:rPr>
      <w:sz w:val="21"/>
      <w:szCs w:val="24"/>
    </w:rPr>
  </w:style>
  <w:style w:type="character" w:styleId="15">
    <w:name w:val="FollowedHyperlink"/>
    <w:basedOn w:val="14"/>
    <w:qFormat/>
    <w:uiPriority w:val="0"/>
    <w:rPr>
      <w:color w:val="000000"/>
      <w:u w:val="none"/>
    </w:rPr>
  </w:style>
  <w:style w:type="character" w:styleId="16">
    <w:name w:val="Emphasis"/>
    <w:basedOn w:val="14"/>
    <w:qFormat/>
    <w:uiPriority w:val="0"/>
  </w:style>
  <w:style w:type="character" w:styleId="17">
    <w:name w:val="Hyperlink"/>
    <w:basedOn w:val="14"/>
    <w:qFormat/>
    <w:uiPriority w:val="0"/>
    <w:rPr>
      <w:color w:val="000000"/>
      <w:u w:val="none"/>
    </w:rPr>
  </w:style>
  <w:style w:type="paragraph" w:customStyle="1" w:styleId="18">
    <w:name w:val="Default"/>
    <w:basedOn w:val="19"/>
    <w:qFormat/>
    <w:uiPriority w:val="0"/>
    <w:pPr>
      <w:widowControl w:val="0"/>
      <w:autoSpaceDE w:val="0"/>
      <w:autoSpaceDN w:val="0"/>
      <w:adjustRightInd w:val="0"/>
    </w:pPr>
    <w:rPr>
      <w:color w:val="000000"/>
      <w:sz w:val="24"/>
      <w:szCs w:val="24"/>
      <w:lang w:val="en-US" w:eastAsia="zh-CN" w:bidi="ar-SA"/>
    </w:rPr>
  </w:style>
  <w:style w:type="paragraph" w:customStyle="1" w:styleId="1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0">
    <w:name w:val="样式 样式 样式 四号 左侧:  1.53 厘米 + 首行缩进:  2 字符 + 居中 左侧:  2 字符 首行缩进:  2..."/>
    <w:basedOn w:val="21"/>
    <w:qFormat/>
    <w:uiPriority w:val="0"/>
    <w:pPr>
      <w:jc w:val="center"/>
    </w:pPr>
  </w:style>
  <w:style w:type="paragraph" w:customStyle="1" w:styleId="21">
    <w:name w:val="样式 样式 四号 左侧:  1.53 厘米 + 首行缩进:  2 字符"/>
    <w:basedOn w:val="22"/>
    <w:qFormat/>
    <w:uiPriority w:val="0"/>
    <w:pPr>
      <w:ind w:left="200" w:leftChars="200"/>
    </w:pPr>
    <w:rPr>
      <w:szCs w:val="20"/>
    </w:rPr>
  </w:style>
  <w:style w:type="paragraph" w:customStyle="1" w:styleId="22">
    <w:name w:val="样式 四号 左侧:  1.53 厘米"/>
    <w:basedOn w:val="1"/>
    <w:qFormat/>
    <w:uiPriority w:val="0"/>
    <w:pPr>
      <w:adjustRightInd w:val="0"/>
    </w:pPr>
    <w:rPr>
      <w:w w:val="90"/>
      <w:sz w:val="28"/>
      <w:szCs w:val="28"/>
    </w:rPr>
  </w:style>
  <w:style w:type="character" w:customStyle="1" w:styleId="23">
    <w:name w:val="NormalCharacter"/>
    <w:qFormat/>
    <w:uiPriority w:val="0"/>
    <w:rPr>
      <w:rFonts w:ascii="Times New Roman" w:hAnsi="Times New Roman" w:eastAsia="宋体"/>
    </w:rPr>
  </w:style>
  <w:style w:type="character" w:customStyle="1" w:styleId="24">
    <w:name w:val="cur1"/>
    <w:basedOn w:val="14"/>
    <w:qFormat/>
    <w:uiPriority w:val="0"/>
    <w:rPr>
      <w:color w:val="FFFFFF"/>
      <w:shd w:val="clear" w:color="auto" w:fill="2F6B98"/>
    </w:rPr>
  </w:style>
  <w:style w:type="character" w:customStyle="1" w:styleId="25">
    <w:name w:val="znspantitle"/>
    <w:basedOn w:val="14"/>
    <w:qFormat/>
    <w:uiPriority w:val="0"/>
    <w:rPr>
      <w:b/>
      <w:bCs/>
      <w:color w:val="333333"/>
    </w:rPr>
  </w:style>
  <w:style w:type="character" w:customStyle="1" w:styleId="26">
    <w:name w:val="lable"/>
    <w:basedOn w:val="14"/>
    <w:qFormat/>
    <w:uiPriority w:val="0"/>
    <w:rPr>
      <w:sz w:val="24"/>
      <w:szCs w:val="24"/>
    </w:rPr>
  </w:style>
  <w:style w:type="character" w:customStyle="1" w:styleId="27">
    <w:name w:val="lishishuju"/>
    <w:basedOn w:val="14"/>
    <w:qFormat/>
    <w:uiPriority w:val="0"/>
    <w:rPr>
      <w:b/>
      <w:bCs/>
      <w:color w:val="000052"/>
      <w:sz w:val="24"/>
      <w:szCs w:val="24"/>
      <w:bdr w:val="single" w:color="E3E3E3" w:sz="6" w:space="0"/>
    </w:rPr>
  </w:style>
  <w:style w:type="character" w:customStyle="1" w:styleId="28">
    <w:name w:val="radio-btn"/>
    <w:basedOn w:val="14"/>
    <w:qFormat/>
    <w:uiPriority w:val="0"/>
    <w:rPr>
      <w:sz w:val="24"/>
      <w:szCs w:val="24"/>
    </w:rPr>
  </w:style>
  <w:style w:type="character" w:customStyle="1" w:styleId="29">
    <w:name w:val="radio-btn1"/>
    <w:basedOn w:val="14"/>
    <w:qFormat/>
    <w:uiPriority w:val="0"/>
    <w:rPr>
      <w:sz w:val="24"/>
      <w:szCs w:val="24"/>
    </w:rPr>
  </w:style>
  <w:style w:type="character" w:customStyle="1" w:styleId="30">
    <w:name w:val="radio-btn2"/>
    <w:basedOn w:val="14"/>
    <w:qFormat/>
    <w:uiPriority w:val="0"/>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35</Words>
  <Characters>36</Characters>
  <Lines>2</Lines>
  <Paragraphs>0</Paragraphs>
  <TotalTime>7</TotalTime>
  <ScaleCrop>false</ScaleCrop>
  <LinksUpToDate>false</LinksUpToDate>
  <CharactersWithSpaces>36</CharactersWithSpaces>
  <Application>WPS Office_11.8.2.12333_F1E327BC-269C-435d-A152-05C5408002CA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2021-04-03T09:03:00Z</dcterms:created>
  <dc:creator>w's'd</dc:creator>
  <cp:lastModifiedBy>user</cp:lastModifiedBy>
  <cp:lastPrinted>2026-05-28T14:18:00Z</cp:lastPrinted>
  <dcterms:modified xsi:type="dcterms:W3CDTF">2026-06-05T13:49:13Z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695005B05D73EDE39FBD136ACE0806B1_43</vt:lpwstr>
  </property>
</Properties>
</file>