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eastAsia="仿宋" w:cs="Times New Roman"/>
          <w:b/>
          <w:bCs/>
          <w:kern w:val="0"/>
          <w:sz w:val="44"/>
          <w:szCs w:val="44"/>
        </w:rPr>
      </w:pPr>
      <w:r>
        <w:rPr>
          <w:rFonts w:hint="eastAsia" w:asci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w:t>
      </w: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lang w:val="en-US" w:eastAsia="zh-CN"/>
        </w:rPr>
        <w:t>26</w:t>
      </w:r>
      <w:bookmarkStart w:id="0" w:name="_GoBack"/>
      <w:bookmarkEnd w:id="0"/>
      <w:r>
        <w:rPr>
          <w:rFonts w:hint="eastAsia" w:ascii="Times New Roman" w:hAnsi="Times New Roman" w:eastAsia="仿宋_GB2312" w:cs="仿宋_GB2312"/>
          <w:color w:val="auto"/>
          <w:sz w:val="32"/>
          <w:szCs w:val="32"/>
        </w:rPr>
        <w:t>号</w:t>
      </w:r>
    </w:p>
    <w:p>
      <w:pPr>
        <w:pStyle w:val="7"/>
        <w:keepNext w:val="0"/>
        <w:keepLines w:val="0"/>
        <w:pageBreakBefore w:val="0"/>
        <w:kinsoku/>
        <w:wordWrap/>
        <w:overflowPunct/>
        <w:topLinePunct w:val="0"/>
        <w:autoSpaceDE/>
        <w:autoSpaceDN/>
        <w:bidi w:val="0"/>
        <w:adjustRightInd/>
        <w:spacing w:line="540" w:lineRule="exact"/>
        <w:jc w:val="center"/>
        <w:textAlignment w:val="auto"/>
        <w:rPr>
          <w:rFonts w:hint="eastAsia" w:ascii="方正小标宋_GBK" w:hAnsi="方正小标宋_GBK" w:eastAsia="方正小标宋_GBK" w:cs="方正小标宋_GBK"/>
          <w:b w:val="0"/>
          <w:bCs w:val="0"/>
          <w:kern w:val="44"/>
          <w:sz w:val="44"/>
          <w:szCs w:val="44"/>
          <w:lang w:val="en-US" w:eastAsia="zh-CN" w:bidi="ar-SA"/>
        </w:rPr>
      </w:pPr>
      <w:r>
        <w:rPr>
          <w:rFonts w:hint="eastAsia" w:ascii="方正小标宋_GBK" w:hAnsi="方正小标宋_GBK" w:eastAsia="方正小标宋_GBK" w:cs="方正小标宋_GBK"/>
          <w:b w:val="0"/>
          <w:bCs w:val="0"/>
          <w:kern w:val="44"/>
          <w:sz w:val="44"/>
          <w:szCs w:val="44"/>
        </w:rPr>
        <w:t>关于</w:t>
      </w:r>
      <w:r>
        <w:rPr>
          <w:rFonts w:hint="eastAsia" w:ascii="方正小标宋_GBK" w:hAnsi="方正小标宋_GBK" w:eastAsia="方正小标宋_GBK" w:cs="方正小标宋_GBK"/>
          <w:b w:val="0"/>
          <w:bCs w:val="0"/>
          <w:kern w:val="44"/>
          <w:sz w:val="44"/>
          <w:szCs w:val="44"/>
          <w:lang w:val="en-US" w:eastAsia="zh-CN" w:bidi="ar-SA"/>
        </w:rPr>
        <w:t>《秦皇岛蓝凯新能源有限公司</w:t>
      </w:r>
    </w:p>
    <w:p>
      <w:pPr>
        <w:pStyle w:val="7"/>
        <w:keepNext w:val="0"/>
        <w:keepLines w:val="0"/>
        <w:pageBreakBefore w:val="0"/>
        <w:kinsoku/>
        <w:wordWrap/>
        <w:overflowPunct/>
        <w:topLinePunct w:val="0"/>
        <w:autoSpaceDE/>
        <w:autoSpaceDN/>
        <w:bidi w:val="0"/>
        <w:adjustRightInd/>
        <w:spacing w:line="540" w:lineRule="exact"/>
        <w:jc w:val="center"/>
        <w:textAlignment w:val="auto"/>
        <w:rPr>
          <w:rFonts w:hint="eastAsia" w:ascii="方正小标宋_GBK" w:hAnsi="方正小标宋_GBK" w:eastAsia="方正小标宋_GBK" w:cs="方正小标宋_GBK"/>
          <w:b w:val="0"/>
          <w:bCs w:val="0"/>
          <w:kern w:val="44"/>
          <w:sz w:val="44"/>
          <w:szCs w:val="44"/>
          <w:lang w:val="en-US" w:eastAsia="zh-CN" w:bidi="ar-SA"/>
        </w:rPr>
      </w:pPr>
      <w:r>
        <w:rPr>
          <w:rFonts w:hint="eastAsia" w:ascii="方正小标宋_GBK" w:hAnsi="方正小标宋_GBK" w:eastAsia="方正小标宋_GBK" w:cs="方正小标宋_GBK"/>
          <w:b w:val="0"/>
          <w:bCs w:val="0"/>
          <w:kern w:val="44"/>
          <w:sz w:val="44"/>
          <w:szCs w:val="44"/>
          <w:lang w:val="en-US" w:eastAsia="zh-CN" w:bidi="ar-SA"/>
        </w:rPr>
        <w:t>昌黎县朱各庄镇43.75MW风力发电项目</w:t>
      </w:r>
    </w:p>
    <w:p>
      <w:pPr>
        <w:keepNext w:val="0"/>
        <w:keepLines w:val="0"/>
        <w:pageBreakBefore w:val="0"/>
        <w:widowControl/>
        <w:suppressLineNumbers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b w:val="0"/>
          <w:bCs w:val="0"/>
          <w:kern w:val="44"/>
          <w:sz w:val="44"/>
          <w:szCs w:val="44"/>
        </w:rPr>
      </w:pPr>
      <w:r>
        <w:rPr>
          <w:rFonts w:hint="eastAsia" w:ascii="方正小标宋_GBK" w:hAnsi="方正小标宋_GBK" w:eastAsia="方正小标宋_GBK" w:cs="方正小标宋_GBK"/>
          <w:b w:val="0"/>
          <w:bCs w:val="0"/>
          <w:kern w:val="44"/>
          <w:sz w:val="44"/>
          <w:szCs w:val="44"/>
          <w:lang w:val="en-US" w:eastAsia="zh-CN" w:bidi="ar-SA"/>
        </w:rPr>
        <w:t>环境影响报告表》的</w:t>
      </w:r>
      <w:r>
        <w:rPr>
          <w:rFonts w:hint="eastAsia" w:ascii="方正小标宋_GBK" w:hAnsi="方正小标宋_GBK" w:eastAsia="方正小标宋_GBK" w:cs="方正小标宋_GBK"/>
          <w:b w:val="0"/>
          <w:bCs w:val="0"/>
          <w:kern w:val="44"/>
          <w:sz w:val="44"/>
          <w:szCs w:val="44"/>
        </w:rPr>
        <w:t>批复</w:t>
      </w:r>
    </w:p>
    <w:p>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ascii="仿宋" w:eastAsia="仿宋" w:cs="Times New Roman"/>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380" w:lineRule="exact"/>
        <w:ind w:right="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秦皇岛蓝凯新能源有限公司：</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所报《秦皇岛蓝凯新能源有限公司昌黎县朱各庄镇43.75MW风力发电项目环境影响报告表》（以下简称《报告表》）审批申请及相关材料收悉。结合环境影响报告表结论、专家评审意见、项目环境影响特点及公示反馈等方面情况，经研究，现批复如下： </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一.项目建设内容和总体要求。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秦皇岛蓝凯新能源有限公司昌黎县朱各庄镇43.75MW风力发电项目为新建并网型绿电直连项目，该项目与秦皇岛蓝创环保科技有限公司昌黎县朱各庄镇50MW风力发电项目、秦皇岛宏腾科技有限公司昌黎县68.75MW并网型绿电直连风力发电项目打捆接入用电负荷。该项目位于河北省秦皇岛市昌黎县朱各庄镇孙庄村、上庄村，项目区域道路设施完善，风机、箱变基础、风机安装场地、道路、升压站、集电线路占地类型均为农用地，施工临时设施场地占地类型为农用地。该项目选址不涉及自然保护区、世界文化和自然遗产地、风景名胜区、森林公园、地质公园、重要湿地、原始天然林、珍稀濒危野生动植物天然级重要分布区、重要水生生物自然产卵场及索饵场、越冬场和洄游通道、天然渔场、海洋特别保护区等敏感区内，且升压站及各风电机组周边500m范围内无村庄，道路及集电线路施工占地范围内，不涉及村庄。该项目不涉及环境敏感区，不存在环境制约因素，厂址选择符合《风电场厂址选择技术规定》中环境保护要求，工程选址可行。项目道路充分利用现有S3800秦津高速、SL83省道、宏兴路、146乡道、其它现有乡村道路等，对地表及植被的扰动和损坏较小，对环境影响较小。因此，道路选线合理。项目集电线路集电线路不跨越和穿越村庄、学校、乡镇等敏感目标，不占用生态保护红线。本工程集电线路的路径总长度为6.5km，采用电缆直埋和架空相结合的形式。电缆敷设沟底铺设细砂或筛过的土，且全长以砖混水泥板遮盖；架空线路对地表的影响可接受。集电线路按照边剥离、边开挖、边敷设、边回填的原则先剥离表土再进行开挖，表土及回填土堆放与沟槽两侧并进行临时防护，待完成电缆铺设后立即回填堆土及表土并实施绿化措施，以有效控制水土流失，此外，集电线路环境影响范围不涉及村庄，集电线路路径合理。</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该项目废气、废水、噪声、固体废物均采取相应措施，不会对区域环境空气、周边水环境、附近敏感点声环境等产生明显不利影响，固废均得到妥善处置，最大光影范围内无村庄、学校等敏感目标。</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依据河北省生态环境厅《加强全省重要生态空间开发建设的管控意见》（冀环环评函〔2019〕385号）中要求：在重要的生态功能区和“四区一线”（水源保护区、自然保护区、风景名胜区、湿地公园、生态红线）区域，严禁违规建设别墅类和高尔夫球场等，严禁破坏生态环境功能、侵占生态红线的开发建设活动。该项目风电风机、升压站选址及建设不涉及上述区域。</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综上，从环境敏感性考虑，该项目选址可行。</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建设</w:t>
      </w:r>
      <w:r>
        <w:rPr>
          <w:rFonts w:hint="default" w:ascii="仿宋_GB2312" w:eastAsia="仿宋_GB2312" w:cs="仿宋_GB2312"/>
          <w:sz w:val="32"/>
          <w:szCs w:val="32"/>
          <w:lang w:val="en-US" w:eastAsia="zh-CN"/>
        </w:rPr>
        <w:t>规模及</w:t>
      </w:r>
      <w:r>
        <w:rPr>
          <w:rFonts w:hint="eastAsia" w:ascii="仿宋_GB2312" w:eastAsia="仿宋_GB2312" w:cs="仿宋_GB2312"/>
          <w:sz w:val="32"/>
          <w:szCs w:val="32"/>
          <w:lang w:val="en-US" w:eastAsia="zh-CN"/>
        </w:rPr>
        <w:t>内容：拟建风力发电场一座，装机总容量为43.75MW，安装7台6.25MW风力发电机组及箱变配套设施，年发电量9187万kW</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h；新建集电线路长度6.5km，并同步配置1套容量为8MW/16MW</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h储能站（秦皇岛蓝凯新能源有限公司昌黎县朱各庄镇43.75MW风力发电项目、秦皇岛蓝创环保科技有限公司昌黎县朱各庄镇50MW风力发电项目、秦皇岛宏腾科技有限公司昌黎县68.75MW并网型绿电直连风力发电项目共用）。新建1座110kV汇集升压站，配套建设场内和进站道路等相关附属设施，并接入秦皇岛蓝创环保科技有限公司昌黎县朱各庄镇50MW风力发电项目、秦皇岛宏腾科技有限公司昌黎县68.75MW并网型绿电直连风力发电项目集电线路。项目采用模块化设计、集中并网的设计方案，由逆变器交流输出</w:t>
      </w:r>
      <w:r>
        <w:rPr>
          <w:rFonts w:hint="default" w:ascii="仿宋_GB2312" w:eastAsia="仿宋_GB2312" w:cs="仿宋_GB2312"/>
          <w:sz w:val="32"/>
          <w:szCs w:val="32"/>
          <w:lang w:val="en-US" w:eastAsia="zh-CN"/>
        </w:rPr>
        <w:t>1.14kV</w:t>
      </w:r>
      <w:r>
        <w:rPr>
          <w:rFonts w:hint="eastAsia" w:ascii="仿宋_GB2312" w:eastAsia="仿宋_GB2312" w:cs="仿宋_GB2312"/>
          <w:sz w:val="32"/>
          <w:szCs w:val="32"/>
          <w:u w:val="single"/>
          <w:vertAlign w:val="superscript"/>
          <w:lang w:val="en-US" w:eastAsia="zh-CN"/>
        </w:rPr>
        <w:t>升压</w:t>
      </w:r>
      <w:r>
        <w:rPr>
          <w:rFonts w:hint="default" w:ascii="仿宋_GB2312" w:eastAsia="仿宋_GB2312" w:cs="仿宋_GB2312"/>
          <w:sz w:val="32"/>
          <w:szCs w:val="32"/>
          <w:lang w:val="en-US" w:eastAsia="zh-CN"/>
        </w:rPr>
        <w:t>35kV</w:t>
      </w:r>
      <w:r>
        <w:rPr>
          <w:rFonts w:hint="eastAsia" w:ascii="仿宋_GB2312" w:eastAsia="仿宋_GB2312" w:cs="仿宋_GB2312"/>
          <w:sz w:val="32"/>
          <w:szCs w:val="32"/>
          <w:u w:val="single"/>
          <w:vertAlign w:val="superscript"/>
          <w:lang w:val="en-US" w:eastAsia="zh-CN"/>
        </w:rPr>
        <w:t>升压</w:t>
      </w:r>
      <w:r>
        <w:rPr>
          <w:rFonts w:hint="default" w:ascii="仿宋_GB2312" w:eastAsia="仿宋_GB2312" w:cs="仿宋_GB2312"/>
          <w:sz w:val="32"/>
          <w:szCs w:val="32"/>
          <w:lang w:val="en-US" w:eastAsia="zh-CN"/>
        </w:rPr>
        <w:t>110kV</w:t>
      </w:r>
      <w:r>
        <w:rPr>
          <w:rFonts w:hint="eastAsia" w:ascii="仿宋_GB2312" w:eastAsia="仿宋_GB2312" w:cs="仿宋_GB2312"/>
          <w:sz w:val="32"/>
          <w:szCs w:val="32"/>
          <w:lang w:val="en-US" w:eastAsia="zh-CN"/>
        </w:rPr>
        <w:t>两级升压的方式实现风能交流输出。项目总占地面积为7.4968公顷，其中：永久占地面积为1.3786公顷（风机及箱变基础占地面积为0.3626公顷，升压站占地面积为1.016公顷），临时占地面积为6.1182公顷（风机平台吊装场地占地2.3472公顷、塔基区域占地0.256公顷、塔基施工区占地1.6公顷、牵张场区占地0.605公顷、地埋电缆区域0.11公顷、施工道路占地1.2公顷）。该项目总投资约17500万元，其中环保投资约430万元，环保投资占工程总投资的2.46%。</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为陆上风力发电项目，不属于《产业结构调整指导目录》（2024年本）鼓励类、限制类和淘汰类项目，为允许类项目；不属于《市场准入负面清单（2025年版）》中的禁止准入事项；也不属于《环境保护综合名录（2021年版）》、河北省发展和改革委员会《关于加强新建“两高”项目管理的通知》（冀发改环资〔2022〕691号）中两高项目；不属于《全国落后生产工艺装备淘汰目录清单》（2024年）中工艺和装备；符合《河北省“十四五”可再生能源发展规划》、《河北省风电光伏发电资源规划》、《秦皇岛市“十四五”能源发展规划》、《秦皇岛市可再生能源发展“十四五”规划》等政策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属于河北省发展和改革委员会《关于下达河北省2025年绿电直连项目的通知》（冀发改能源〔2025〕1454号）中的绿电直连项目。并于2026年3月取得秦皇岛市行政审批局核准变更批复（秦审批投〔2026〕07-0017号）。</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综上，该项目符合国家及地方产业政策要求。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符合《河北省新能源发展促进条例》、《河北省“十四五”可再生能源发展规划》、《秦皇岛市生态环境保护专项规划（2021－2035年）》、《河北省生态环境厅办公室关于进一步做好沙区建设项目环境影响评价工作的通知》（冀环办字函〔2023〕326号）、《关于促进退役风电、光伏设备循环利用的指导意见（发改环资》〔2023〕1030号）、《国家林业和草原局关于规范风电场项目建设使用林地的通知》（林资发〔2019〕17号）等相关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昌黎县朱各庄镇43.75MW风力发电项目选址未占用生态保护红线区，满足区域环境质量底线要求、资源利用上线等要求。依据《秦皇岛市人民政府办公室关于实施生态环境分区管控动态更新成果的通知》，《报告表》从生态空间、大气环境总体管控、地表水环境总体管控、土壤及地下水风险防控、产业布局等方面论述分析，符合《秦皇岛市人民政府办公室关于实施生态环境分区管控动态更新成果的通知》等文件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报告表》已通过河北超泰环保科技有限公司评估，结合评估意见（超泰环评［2026］050号）及公示反馈情况，结合各方面专家意见及本项目公众参与调查情况及其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该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认真落实各项污染防治措施，加强环保设施运营管理，确保满足相关要求，并重点做好以下工作：</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（一）加强施工期环境管理，减少施工对环境的影响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施工期应严格控制施工范围，科学规划布局施工场地，合理安排施工时间，减少对地表扰动、植被破坏以及野生动物栖息地的影响。做好土石方平衡、表土回覆，减少弃渣量，临时堆场设置围挡，并进行苫盖，施工结束后及时恢复土地原有功能，做好防风防沙措施，按《报告表》要求做好生态恢复和水土流失防护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施工废气主要为：施工扬尘，车辆尾气。建设及施工单位须严格执行《河北省大气污染防治条例》（2016年3月1日）、《关于印发&lt;河北省建筑施工扬尘防治强化措施18条&gt;的通知》（冀建安[2016]27号）、《关于印发&lt;河北省建筑施工扬尘治理方案&gt;的通知》（冀建安[2017]9号）、《河北省人民代表大会常务委员会关于加强扬尘污染防治的决定》（2018年11月1日）、《河北省2024年建筑施工扬尘污染防治工作方案》、《河北省扬尘污染防治办法》、《秦皇岛深入实施大气污染综合治理四十条措施》、《秦皇岛市不利气象条件下大气环境质量差异化应急管控方案》等相关文件中有关扬尘的管理规定，采取合理的扬尘防治措施，严控建筑施工扬尘污染，施工过程中需做到“六个百分百”，即施工现场周边100%封闭围挡，物料堆放苫盖100%覆盖，工地路面100%硬化，拆迁湿法作业100%，出入工地运输车辆100%冲净车轮车身且密闭无洒漏，渣土车辆100%密闭运输。两个全覆盖，即现场视频联网监控“全覆盖”、安装扬尘联网监控设备“全覆盖”。施工场界颗粒物排放浓度小于《施工场地扬尘排放标准》（DB13/2934-2019）表1相关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施工机械选用低噪声机械设备，并及时维修保养，严格按操作规程使用各类机械；施工区采用围档，减轻施工噪声影响。压路机、挖掘机等设备在基础开挖等作业必须在短期内完成；昼间施工限制使用高噪声施工机械施工；钢筋调直机、钢筋切断机等非必须固定设备远离居民区进行生产加工，不在居民区附近设置固定的加工点，减少临近居民区域的非必要车辆行驶，不在夜间和中午进行施工，以减少施工噪声对临近居民的影响；在施工场地及就近敏感点布设噪声监测点。在落实上述噪声污染防治措施后，须达到《建筑施工噪声排放标准》（GB12523-2025）。</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施工废水主要为：车辆冲洗废水、生活污水等。施工出入口设置车辆冲洗设备、沉淀池，车辆冲洗废水经沉淀池处理后回用或施工场地洒水抑尘；生活污水为盥洗废水，用于施工区域泼洒抑尘；施工场地设置旱厕，定期清掏用作农肥。</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施工期固体废物：开挖土石方时，将场内表层土，选择妥善地点堆放，底层土妥善堆砌。工程完毕，先用底层土覆盖裸露区域，再用表层土覆盖；施工废弃土石、建筑垃圾、弃渣等就地回填并摊平表层土后植草；废弃零部件外售至废旧资源回收单位；施工期生活垃圾由环卫部门统一收集处置。</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w:t>
      </w:r>
      <w:r>
        <w:rPr>
          <w:rFonts w:hint="default" w:ascii="仿宋_GB2312" w:eastAsia="仿宋_GB2312" w:cs="仿宋_GB2312"/>
          <w:sz w:val="32"/>
          <w:szCs w:val="32"/>
          <w:lang w:val="en-US" w:eastAsia="zh-CN"/>
        </w:rPr>
        <w:t>施工期生态环境保护措施</w:t>
      </w:r>
      <w:r>
        <w:rPr>
          <w:rFonts w:hint="eastAsia" w:asci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动物的防治措施：①施工设备选取低噪声设备，并且严格按操作规范使用，施工单位设专人对设备进行定期保养和维护；②提倡文明施工，增强施工人员的环保意识，减少人为噪声污染，在施工现场禁止大声喧哗吵闹；③施工作业中搬运物件，须轻拿轻放，禁止抛掷物件而造成噪声；④建设单位加强管理、采取措施对施工活动进行监督。</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植被的防治措施：施工期对植被的破坏是暂时性的，施工结束，对临时破坏的植被通过回铺或种植当地草种、乔木进行恢复。施工要划定施工范围、严格控制并加强施工人员教育管理，施工人员和机械不得在划定区域外随意活动，减少对植被和表层土壤的破坏。</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（3）鸟类的保护措施：</w:t>
      </w:r>
      <w:r>
        <w:rPr>
          <w:rFonts w:hint="eastAsia" w:ascii="仿宋_GB2312" w:hAnsi="仿宋_GB2312" w:eastAsia="仿宋_GB2312" w:cs="仿宋_GB2312"/>
          <w:sz w:val="32"/>
          <w:szCs w:val="32"/>
          <w:lang w:val="en-US" w:eastAsia="zh-CN"/>
        </w:rPr>
        <w:t>①</w:t>
      </w:r>
      <w:r>
        <w:rPr>
          <w:rFonts w:hint="default" w:ascii="仿宋_GB2312" w:eastAsia="仿宋_GB2312" w:cs="仿宋_GB2312"/>
          <w:sz w:val="32"/>
          <w:szCs w:val="32"/>
          <w:lang w:val="en-US" w:eastAsia="zh-CN"/>
        </w:rPr>
        <w:t>合理安排施工时间</w:t>
      </w:r>
      <w:r>
        <w:rPr>
          <w:rFonts w:hint="eastAsia" w:ascii="仿宋_GB2312" w:eastAsia="仿宋_GB2312" w:cs="仿宋_GB2312"/>
          <w:sz w:val="32"/>
          <w:szCs w:val="32"/>
          <w:lang w:val="en-US" w:eastAsia="zh-CN"/>
        </w:rPr>
        <w:t>，尽量避开候鸟迁徙的高峰期和早晚活动期（早晨5:00-7:00，傍晚17:00-19:00），减少对鸟类的影响；鸟类迁徙具有趋光性，夜间灯光会导致鸟类迁徙迷失方向，在10月底和3月初鸟类集中迁徙期间，尽量避免夜间施工，或对施工场地的光源进行遮蔽、选用低亮度照明设备、合理布置照明方向、缩短不必要的照明时长，减少对外界的漏光量，同时通过选用低噪声设备、合理规划施工场地布局、加强设备维护管理，尽量降低噪声与灯光对鸟类的干扰。</w:t>
      </w:r>
      <w:r>
        <w:rPr>
          <w:rFonts w:hint="eastAsia" w:ascii="仿宋_GB2312" w:hAnsi="仿宋_GB2312" w:eastAsia="仿宋_GB2312" w:cs="仿宋_GB2312"/>
          <w:sz w:val="32"/>
          <w:szCs w:val="32"/>
          <w:lang w:val="en-US" w:eastAsia="zh-CN"/>
        </w:rPr>
        <w:t>②</w:t>
      </w:r>
      <w:r>
        <w:rPr>
          <w:rFonts w:hint="eastAsia" w:ascii="仿宋_GB2312" w:eastAsia="仿宋_GB2312" w:cs="仿宋_GB2312"/>
          <w:sz w:val="32"/>
          <w:szCs w:val="32"/>
          <w:lang w:val="en-US" w:eastAsia="zh-CN"/>
        </w:rPr>
        <w:t>严格管控项目施工范围。施工建设要划定施工范围，严格控制占地面积，科学组织施工流程，加强施工现场管理，有效降低项目建设对区域鸟类造成的各种不良影响。</w:t>
      </w:r>
      <w:r>
        <w:rPr>
          <w:rFonts w:hint="eastAsia" w:ascii="仿宋_GB2312" w:hAnsi="仿宋_GB2312" w:eastAsia="仿宋_GB2312" w:cs="仿宋_GB2312"/>
          <w:sz w:val="32"/>
          <w:szCs w:val="32"/>
          <w:lang w:val="en-US" w:eastAsia="zh-CN"/>
        </w:rPr>
        <w:t>③</w:t>
      </w:r>
      <w:r>
        <w:rPr>
          <w:rFonts w:hint="eastAsia" w:ascii="仿宋_GB2312" w:eastAsia="仿宋_GB2312" w:cs="仿宋_GB2312"/>
          <w:sz w:val="32"/>
          <w:szCs w:val="32"/>
          <w:lang w:val="en-US" w:eastAsia="zh-CN"/>
        </w:rPr>
        <w:t>健全保护管理协调机制。施工期通过制定相应的环保手册对施工人员、施工区域、施工方式、施工时间进行有效的指导。对施工人员进行候鸟保护等法律知识宣传教育，在工地及周边设立爱护鸟类自然植被的宣传牌，严禁捕猎各种鸟类；施工过程中一旦发现珍稀动物及时联系保护区管理处，特别是在保护区及附近区域，采取适当保护措施，不得伤害珍稀鸟类，发现受伤的珍稀鸟类立即联系野生动物保护部门，及时救治。</w:t>
      </w:r>
      <w:r>
        <w:rPr>
          <w:rFonts w:hint="eastAsia" w:ascii="仿宋_GB2312" w:hAnsi="仿宋_GB2312" w:eastAsia="仿宋_GB2312" w:cs="仿宋_GB2312"/>
          <w:sz w:val="32"/>
          <w:szCs w:val="32"/>
          <w:lang w:val="en-US" w:eastAsia="zh-CN"/>
        </w:rPr>
        <w:t>④</w:t>
      </w:r>
      <w:r>
        <w:rPr>
          <w:rFonts w:hint="eastAsia" w:ascii="仿宋_GB2312" w:eastAsia="仿宋_GB2312" w:cs="仿宋_GB2312"/>
          <w:sz w:val="32"/>
          <w:szCs w:val="32"/>
          <w:lang w:val="en-US" w:eastAsia="zh-CN"/>
        </w:rPr>
        <w:t>合理规划、设计施工便道。机械和车辆固定行车路线，不能随意下道行驶或另开辟便道，以保证周围地表和植被不受破坏，保护鸟类栖息环境。</w:t>
      </w:r>
      <w:r>
        <w:rPr>
          <w:rFonts w:hint="eastAsia" w:ascii="仿宋_GB2312" w:hAnsi="仿宋_GB2312" w:eastAsia="仿宋_GB2312" w:cs="仿宋_GB2312"/>
          <w:sz w:val="32"/>
          <w:szCs w:val="32"/>
          <w:lang w:val="en-US" w:eastAsia="zh-CN"/>
        </w:rPr>
        <w:t>⑤</w:t>
      </w:r>
      <w:r>
        <w:rPr>
          <w:rFonts w:hint="eastAsia" w:ascii="仿宋_GB2312" w:eastAsia="仿宋_GB2312" w:cs="仿宋_GB2312"/>
          <w:sz w:val="32"/>
          <w:szCs w:val="32"/>
          <w:lang w:val="en-US" w:eastAsia="zh-CN"/>
        </w:rPr>
        <w:t>施工期进行鸟类监测，覆盖繁殖迁徙季，记录物种、数量、活动区域，建立台账。</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生态恢复措施：施工中，须按照设计要求严格控制施工范围及开挖量，基础开挖多余的土石方采取回填方式妥善处置，尽量减少弃方。施工结束后，及时清理施工场地，并及时进行土地整治和恢复，尽力恢复原地貌及原有土地利用功能。做好表土剥离与临时堆存，施工前对风机安装场地、线缆施工区等临时占地表层土进行剥离，用于后期植被恢复覆土，根据实际情况，剥离的表层土集中堆放于地势平缓的空地处。各项工程施工前或开挖前，先剥离表层土，设置表土临时堆场。堆放中需采取拦挡、临时苫盖措施，防止表土流失。</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水土流失、沙化土地防治措施。严格按照《中华人民共和国防沙治沙法》（2018）及《河北省生态环境厅办公室关于进一步做好沙区建设项目环境影响评价工作的通知》（冀环办字函[2023]326号）中有关规定执行。该项目升压站区域、风电机组位于沙化区，施工中，须加强沙化土地区的植被保护、减缓或避免沙化措施如下：①风力发电机组基础建设及施工临时场地设置、检修道路建设等施工中，减少临时占地，严格控制施工作业范围，尽量减少占用已经治理好的沙化土地。需要占用固定沙地、半固定沙地的，须因地制宜的做好生态保护、治沙等方面的科学论证。②在沙区范围内施工时，尽量减少占用沙区植被地，因工程限制、导致临时占地必须占用沙化土地，并对沙区植被造成破坏时，做好生态恢复方案，减轻对沙区植被的影响，减缓或避免沙化进程。③施工临时场地、道路采用钢板覆盖，降低对施工区域土地的影响。④施工中应科学规划、分段施工，边施工、边回填；避开大风天气，在风速较大时（平均风速≥10.8m/s）停止施工。</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6）景观防治措施：施工中，采取围挡作业、分段施工、及时清运弃方、采取防尘抑尘措施、集中收集施工人员生活垃圾并及时清运处理等措施，施工区域及时恢复原有自然面貌，将施工造成的景观影响降至最小。</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（7）施工管理措施：加强施工管理，做好施工组织设计，合理安排施工时间，制定施工期的环境管理、监控计划，选择合适的施工方式，避免破坏环境。</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8）临时防护措施。①临时拦挡措施：在回填区下游增加临时拦挡措施，控制施工范围；②临时苫盖措施：对施工区回填边坡、临时道路土路肩采用无纺布等临时苫盖；③堆土防护措施：表土堆区应采用临时苫盖设施；④水土保持措施：临时堆土场采用无纺布临时苫盖,施工结束后及时拆除临时建筑物,对裸露地面种植本土植物进行恢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（二）加强运营期环保设施管理，认真落实各项污染防治措施，确保满足相关要求。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1.该</w:t>
      </w:r>
      <w:r>
        <w:rPr>
          <w:rFonts w:hint="default" w:ascii="仿宋_GB2312" w:eastAsia="仿宋_GB2312" w:cs="仿宋_GB2312"/>
          <w:sz w:val="32"/>
          <w:szCs w:val="32"/>
          <w:lang w:val="en-US" w:eastAsia="zh-CN"/>
        </w:rPr>
        <w:t>项目运营期主要为风机发电，</w:t>
      </w:r>
      <w:r>
        <w:rPr>
          <w:rFonts w:hint="eastAsia" w:ascii="仿宋_GB2312" w:eastAsia="仿宋_GB2312" w:cs="仿宋_GB2312"/>
          <w:sz w:val="32"/>
          <w:szCs w:val="32"/>
          <w:lang w:val="en-US" w:eastAsia="zh-CN"/>
        </w:rPr>
        <w:t>无废气产生。</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2.严格落实废水污染防治措施。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营运期废水主要为工作人员生活污水，生活污水经化粪池处理，用于厂区绿化，不外排。</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3.严格落实噪声污染防治措施。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营运期的噪声主要为风力发电机组、升压站，选用低噪声设备，安装基础减振及经常对风机进行维护和检修、距离衰减等措施。噪声源对厂界贡献值须达到《工业企业厂界环境噪声排放标准》（GB12348-2008）中1类标准，昼间55dB（A）、夜间为45dB（A）。</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4.严格落实固体废物污染防治措施。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该项目要严格落实固体废物分类处置和综合利用措施，认真落实《报告表》规定的固体废物处理、处置措施。按照“资源化、减量化、无害化”的固废处置原则，实现综合利用。</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营运期固体废物主要为废磷酸铁锂电池、废风机叶片、废润滑油、废油桶、废液压油、废变压器油、废铅酸蓄电池和生活垃圾。废磷酸铁锂电池、废风机叶片由厂家回收；废润滑油、废油桶、废液压油、废铅酸蓄电池暂存于升压站内的危废间，定期委托有资质的单位处置；主变压器、箱式变压器事故时产生的废变压器油经事故油池收集后，交由有资质的单位处置。生活垃圾设置专门的收集箱，收集后定期拉运至环卫部门指定地点进行处置。危废间、事故油池等采取防腐防渗等措施，须达到《危险废物贮存污染控制标准》（GB18597-2023）中相关要求。在危废送至危废间的运输过程中，严格按照《危险废物收集 贮存 运输技术规范》（HJ2025-2012）执行。</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5.严格落实地下水、土壤污染防治措施。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按照“源头控制、过程防控”相结合的原则，从污染物的产生、运移、扩散、应急响应全阶段进行控制。落实以下保护和污染防治措施：（1）风机发电机组位置区域及检修道路全部硬化，严格按照检修路线行走。（2）加强风机发电机组周边区域和检修道路两侧的绿化，不破坏周边现有植被，减缓或避免沙化进程。（3）采取分区防渗措施：危废暂存间、事故油池区域均采取防渗处理，防渗层为至少1m厚黏土层（渗透系数不大于10</w:t>
      </w:r>
      <w:r>
        <w:rPr>
          <w:rFonts w:hint="eastAsia" w:ascii="仿宋_GB2312" w:eastAsia="仿宋_GB2312" w:cs="仿宋_GB2312"/>
          <w:color w:val="000000"/>
          <w:kern w:val="0"/>
          <w:sz w:val="32"/>
          <w:szCs w:val="32"/>
          <w:vertAlign w:val="superscript"/>
          <w:lang w:val="en-US" w:eastAsia="zh-CN"/>
        </w:rPr>
        <w:t>-7</w:t>
      </w:r>
      <w:r>
        <w:rPr>
          <w:rFonts w:hint="eastAsia" w:ascii="仿宋_GB2312" w:eastAsia="仿宋_GB2312" w:cs="仿宋_GB2312"/>
          <w:sz w:val="32"/>
          <w:szCs w:val="32"/>
          <w:lang w:val="en-US" w:eastAsia="zh-CN"/>
        </w:rPr>
        <w:t>cm/s），或至少2mm厚高密度聚乙烯膜等人工防渗材料（渗透系数不大于10</w:t>
      </w:r>
      <w:r>
        <w:rPr>
          <w:rFonts w:hint="eastAsia" w:ascii="仿宋_GB2312" w:eastAsia="仿宋_GB2312" w:cs="仿宋_GB2312"/>
          <w:color w:val="000000"/>
          <w:kern w:val="0"/>
          <w:sz w:val="32"/>
          <w:szCs w:val="32"/>
          <w:vertAlign w:val="superscript"/>
          <w:lang w:val="en-US" w:eastAsia="zh-CN"/>
        </w:rPr>
        <w:t>-10</w:t>
      </w:r>
      <w:r>
        <w:rPr>
          <w:rFonts w:hint="eastAsia" w:ascii="仿宋_GB2312" w:eastAsia="仿宋_GB2312" w:cs="仿宋_GB2312"/>
          <w:sz w:val="32"/>
          <w:szCs w:val="32"/>
          <w:lang w:val="en-US" w:eastAsia="zh-CN"/>
        </w:rPr>
        <w:t>cm/s），或其他防渗性能等效的材料，满足《危险废物贮存污染控制标准》（GB18597-2023）相关要求。其他区域均为一般防渗区：各区域地面均采取三合土铺底，在上层铺15cm防渗水泥进行硬化防渗，K≤1×10</w:t>
      </w:r>
      <w:r>
        <w:rPr>
          <w:rFonts w:hint="eastAsia" w:ascii="仿宋_GB2312" w:eastAsia="仿宋_GB2312" w:cs="仿宋_GB2312"/>
          <w:color w:val="000000"/>
          <w:kern w:val="0"/>
          <w:sz w:val="32"/>
          <w:szCs w:val="32"/>
          <w:vertAlign w:val="superscript"/>
          <w:lang w:val="en-US" w:eastAsia="zh-CN"/>
        </w:rPr>
        <w:t>-7</w:t>
      </w:r>
      <w:r>
        <w:rPr>
          <w:rFonts w:hint="eastAsia" w:ascii="仿宋_GB2312" w:eastAsia="仿宋_GB2312" w:cs="仿宋_GB2312"/>
          <w:sz w:val="32"/>
          <w:szCs w:val="32"/>
          <w:lang w:val="en-US" w:eastAsia="zh-CN"/>
        </w:rPr>
        <w:t>cm/s。（4）加强对事故油池、危废间的维护和管理，防止跑、冒、滴、漏和非正常排放。</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6.加强运营期生态环境保护措施。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野生动物的生态保护措施。①风电场除必要的照明外，减少夜间灯光投射，减少对兽类惊扰影响。②防火、禁猎，保护风电场周边林地、灌丛、草丛等植被，保护动物的生存环境，加强风电场员工的宣传教育，严禁人为捕获野生动物。③尽量减少车辆、人员在场地范围内的工作活动，禁止在场地范围内鸣笛或产生较大噪音，减少对区域内陆地野生动物的干扰及恫吓。</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鸟类的生态保护措施。①风机叶片涂红色与白色相间的警示色，提高鸟类对风机叶片的辨识度，使鸟类在飞行过程中规避风机。②生态补偿，通过开展鸟类栖息地营建、缴纳生态补偿费、筑巢补偿等弥补鸟类由于风叶运行造成的影响。③假扮的太阳能机器“稻草人”，会发出很大的声音和高强度的频闪灯，以达到驱赶飞行动物目的。④在低风速时关停风机，减少鸟类撞击。⑤雷达技术可以检测飞行动物，可以判断鸟类的飞行高度、与风机叶片的距离。当监测系统发现大量候鸟接近风电场时，可以配合蜂鸣器立即采取声音警戒，或者通过停止风机的运转来有效防止鸟类与风机发生碰撞事故。⑥智能识别技术：首先在风电场内设置智能摄像机，根据事先定义的受保护鸟类的品种，识别并判断其飞行路线，评估是否有可能与风机叶片发生撞击。如可能性较大，则给风电场控制系统发出信号，关停相关风机。⑦运营管理：风电场的工作人员接受相关的鸟类保护培训提高对鸟类保护的意识和能力。制定科学合理的运维计划，定期对风机进行检查和维护，确保其正常运行的同时，尽量减少对周边环境的影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（3）景观的生态保护措施。项目建设改变原有的景观格局，由原来的农业景观系统变为农业景观与风机相结合的生态景观。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光影闪烁防护措施。①转速控制：在光影闪烁敏感时段，适当降低风机转速，延长叶片旋转周期，减少光影闪烁的频率，减弱光影闪烁对周边环境的影响；当光影闪烁对周边环境造成严重影响且无法通过其他方式有效缓解时，可选择在特定时段内停机，待光影闪烁影响较小的时段再恢复运行。②加强人工巡逻，确保及时在敏感时段控制相关点位减速或停机，同时不定期在非敏感时段进行人工巡逻，确保项目非敏感时段不会产生光影闪烁影响，如产生，按照敏感时段要求进行管控。</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生态恢复措施。该项目施工结束后，及时对吊装平台、施工便道、施工场地等临时占地植被恢复。在“恢复土地原有性质，适地适树、适地适草”的原则下，树种、草种以选择当地优良的乡土树种草种为主，保证绿化栽植的成活率。把剥离的表层熟土回填至周围的植被恢复区内，用作施工区的植被恢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①吊装平台，风电设备安装结束后，对安装场地除风机箱变等永久占地以外的其他土地进行全面平整，犁地、踢出石块、施农家肥，对于原植被为农用地、园地的，恢复为农用地交于当地农民；对于占地类型为林地的，种植杨树苗。其余临时占地播撒草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②风机：以塔基为中心3-7m范围内，播撒草种，选择耐旱耐踩踏，低矮匍匐型草种（风机与箱变之间埋电缆区域除外）；以塔基为中心7-9m范围内，种植灌木，采用非根系型植物；以塔基为中心9-14m及实际影响范围内，恢复农用地植物。</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③线路区：该项目线路扰动范围内原有土地种植作物等，恢复其原有植被；原有土地为荒草地的，播撒当地常见植被的草籽予以植被恢复；其他临时占地种植树苗。</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杆塔：以杆塔线路为中心5m范围内（塔架底部及周围临时占地区域）覆土并播撒草种，选择耐旱耐踩踏草种。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④升压站：场界四周种植灌木（输电线路出现区域除外）；配电装置以草坪为主；建筑物周边种植乔木、灌木、花卉、草坪。</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⑤施工道路区：项目施工结束后，终期道路作为风电场区检修道路，其他临时占地分地段选择植被恢复。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道路：施工结束后，道路恢复至5.0m宽，其余两侧临时占地进行复耕。</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土质边坡：缓坡采用植草护坡，陡坡采用网格生态坡。</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土夹石边坡：缓坡采用直接播撒，或者客土喷播；陡坡采用网格生态护坡。</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岩石边坡：缓坡采用网格生态护坡；陡坡采用工程护坡方式。</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⑥弃土。风机机组基础清表，挖方时，将表层土与下层土分开，保留表土，集中土方，保存时候进行覆盖，施工结束后表层土用于植被恢复。合理规划和设计，施工中对土地的占用达到最少程度；坚持按预防为主、规划先行、因地制宜和因害设防的原则，将工程对生态环境的影响减少到最低程度。严格按照设计规划指定位置来放置施工机械设备，尽量减少大型机械施工，有效保护植被。项目建设过程中遵照工程措施和植物措施相结合，永久措施与临时措施相结合的原则，弃渣集中堆放、堆土拦挡、修建排水沟、表土剥离、履土平整等工程措施，和播撒草籽、种植灌木等植物措施，促进工程施工后项目区的生态修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（6）水土流失、防风防沙措施。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秦皇岛市昌黎县位于沙区，该项目升压站、部分风电机组位于沙化区范围，按照《中华人民共和国防沙治沙法》（2018）及《河北省生态环境厅办公室关于进一步做好沙区建设项目环境影响评价工作的通知》（冀环办字函[2023]326号）中有关规定，项目运营过程中，加强沙化土地区的植被保护、减缓或避免沙化趋势，主要措施如下①硬化及防渗维护：升压站场地、道路硬化路面定期修补破损；事故油池、危废暂存间保持防渗完好，防止径流下渗、冲刷扰动。②风机发电机组位置区域及检修道路全部硬化，严格按照检修路线行走，严控检修范围。③加强风机发电机组周边区域和检修道路两侧的绿化，不破坏周边现有植被，减缓或避免沙化进程。④区域植被恢复管护。升压站周边、风机平台周边、施工便道两侧、临时占地已恢复的乔灌草植被常态化养护：浇水、补植、除草、病虫害防治，遇有病死及时补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7.强化环境风险防范措施。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严禁野外生火、乱丢烟头等可能引发火灾的不良行为；在秋收季节火灾高风险时期严禁一切野外用火；对进入风电场区的人员进行必要的监管，对进入区的人员及车辆进行细致的检查工作，防止各类火种入场。</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（2）加强对各种仪器设备的管理并定期检修，及时发现和消除火灾隐患。</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建立严格的环境管理制度，加强对工作人员和运行管理人员的防火意识和宣传教育，成立防火工作领导小组，进行定期和随机监督检查，发现隐患及时解决，并采取一定的奖惩制度机制，对引起火灾的责任者追究行政和法律责任。</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（三）服务期满后生态保护措施。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该项目运营期满后，按国家相关要求，将对风机组件进行全部拆除或者更换。</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1.该项目服务期满后大气影响主要为施工扬尘、施工机械与车辆尾气。</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工程施工活动范围远离环境敏感点，无大气环境保护目标，且区域开阔，废气污染物气象扩散条件好。施工前检修设备和车辆，保证设备正常稳定运行，燃用高标准清洁燃油，设备和车辆不超负荷运行，从源头减少设备和车辆废气对环境的影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在拆除施工中采取洒水抑尘，开挖后土方集中堆放，采取苫盖及拦挡等抑尘措施。</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2.该项目服务期满后拆除工程持续时间较短，不设临时办公和生活营地，施工盥洗废水用于施工区域泼洒抑尘。施工废水主要为施工机械冲洗废水，经防渗沉淀池沉淀后用于场地喷洒降尘。</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3.该项目拆除施工噪声源主要为施工机械噪声、施工作业噪声和交通噪声。</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拆除施工期使用设备相对建设施工期使用设备数量减少，拆除施工设施选用低噪声设备，施工区域设置围挡，合理安排施工时间，尽量减少夜间及中午施工。拆除施工噪声对边界贡献须执行《建筑施工噪声排放标准》（GB 12523-2025）标准。</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4.固体废物影响。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服务期满后拆除工程的固体废物主要为废风机叶片、废基座、废润滑油、废液压油。废风机叶片及废基座送厂家回收，废润滑油、废液压油暂存于危险废物暂存间内，定期送有资质单位处置。</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5.生态环境影响。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该项目服务期满后将对风机组件等进行全部拆除，并进行生态恢复，主要恢复措施：</w:t>
      </w:r>
    </w:p>
    <w:p>
      <w:pPr>
        <w:keepNext w:val="0"/>
        <w:keepLines w:val="0"/>
        <w:pageBreakBefore w:val="0"/>
        <w:widowControl/>
        <w:kinsoku/>
        <w:wordWrap/>
        <w:overflowPunct/>
        <w:topLinePunct w:val="0"/>
        <w:autoSpaceDE/>
        <w:autoSpaceDN/>
        <w:bidi w:val="0"/>
        <w:adjustRightInd w:val="0"/>
        <w:snapToGrid w:val="0"/>
        <w:spacing w:line="380" w:lineRule="exact"/>
        <w:ind w:righ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（1）掘除硬化地面基础，对场地进行恢复；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（2）拆除过程中尽量减小对土地的扰动，对项目区施工检修道路进行土地整治，恢复使用前的地类及生态；</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（3）掘除混凝土的基础部分场地应进行恢复，恢复后的场地进行洒水、压实，以固结地表，防止产生扬尘和对土壤的风蚀。</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（4）对扰动的地表恢复农业种植，使植被得到恢复，最大限度减小对生态环境的影响。</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综上，风电场服务期满后，风电机组退役须执行《退役风电机组利用处置污染控制技术规范》（DB 13/T 6251-2025）要求。</w:t>
      </w:r>
    </w:p>
    <w:p>
      <w:pPr>
        <w:keepNext w:val="0"/>
        <w:keepLines w:val="0"/>
        <w:pageBreakBefore w:val="0"/>
        <w:widowControl/>
        <w:kinsoku/>
        <w:wordWrap/>
        <w:overflowPunct/>
        <w:topLinePunct w:val="0"/>
        <w:autoSpaceDE/>
        <w:autoSpaceDN/>
        <w:bidi w:val="0"/>
        <w:adjustRightInd w:val="0"/>
        <w:snapToGrid w:val="0"/>
        <w:spacing w:line="380" w:lineRule="exact"/>
        <w:ind w:righ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（四）认真落实《报告表》其他环境管理要求。</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三.认真落实《报告表》中规定的污染防治措施及清洁生产措施，并完善排污许可的衔接工作。 </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四.在项目运营过程中，应建立畅通的公众参与平台，及时解决公众关注的环境问题，满足公众合理的环境诉求。定期发布企业环境信息，主动接受社会监督。</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该项目建设必须严格执行配套建设的环境保护设施与主体工程同时设计、同时施工、同时投产使用的环境保护“三同时”制度。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六.你单位在接到本批复后的10个工作日内，须将环评报告表及其批复送秦皇岛市生态环境局昌黎县分局等相关部门，日常监督管理由秦皇岛市生态环境局昌黎县分局负责。建设单位须定期向秦皇岛市生态环境局昌黎县分局报告“三同时”完成情况。并按规定接受各级生态环境行政主管部门的日常监督检查。</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80" w:lineRule="exact"/>
        <w:ind w:left="0" w:right="0" w:firstLine="640"/>
        <w:textAlignment w:val="auto"/>
        <w:rPr>
          <w:rFonts w:hint="eastAsia" w:asci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80" w:lineRule="exact"/>
        <w:ind w:right="0" w:firstLine="5120" w:firstLineChars="1600"/>
        <w:textAlignment w:val="auto"/>
        <w:rPr>
          <w:rFonts w:hint="eastAsia" w:asci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80" w:lineRule="exact"/>
        <w:ind w:right="0" w:firstLine="5120" w:firstLineChars="16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秦皇岛市行政审批局</w:t>
      </w:r>
    </w:p>
    <w:p>
      <w:pPr>
        <w:keepNext w:val="0"/>
        <w:keepLines w:val="0"/>
        <w:pageBreakBefore w:val="0"/>
        <w:widowControl/>
        <w:kinsoku/>
        <w:wordWrap/>
        <w:overflowPunct/>
        <w:topLinePunct w:val="0"/>
        <w:autoSpaceDE/>
        <w:autoSpaceDN/>
        <w:bidi w:val="0"/>
        <w:adjustRightInd w:val="0"/>
        <w:snapToGrid w:val="0"/>
        <w:spacing w:line="380" w:lineRule="exact"/>
        <w:ind w:left="0" w:right="0" w:firstLine="5452" w:firstLineChars="1704"/>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w:t>
      </w:r>
      <w:r>
        <w:rPr>
          <w:rFonts w:hint="default" w:ascii="仿宋_GB2312" w:eastAsia="仿宋_GB2312" w:cs="仿宋_GB2312"/>
          <w:sz w:val="32"/>
          <w:szCs w:val="32"/>
          <w:lang w:val="en-US" w:eastAsia="zh-CN"/>
        </w:rPr>
        <w:t>6</w:t>
      </w:r>
      <w:r>
        <w:rPr>
          <w:rFonts w:hint="eastAsia" w:ascii="仿宋_GB2312" w:eastAsia="仿宋_GB2312" w:cs="仿宋_GB2312"/>
          <w:sz w:val="32"/>
          <w:szCs w:val="32"/>
          <w:lang w:val="en-US" w:eastAsia="zh-CN"/>
        </w:rPr>
        <w:t>年6月5日</w:t>
      </w:r>
    </w:p>
    <w:p>
      <w:pPr>
        <w:keepNext w:val="0"/>
        <w:keepLines w:val="0"/>
        <w:pageBreakBefore w:val="0"/>
        <w:widowControl/>
        <w:kinsoku/>
        <w:wordWrap/>
        <w:overflowPunct/>
        <w:topLinePunct w:val="0"/>
        <w:autoSpaceDE/>
        <w:autoSpaceDN/>
        <w:bidi w:val="0"/>
        <w:adjustRightInd w:val="0"/>
        <w:snapToGrid w:val="0"/>
        <w:spacing w:line="420" w:lineRule="exact"/>
        <w:ind w:left="0" w:right="0" w:firstLine="640"/>
        <w:textAlignment w:val="auto"/>
        <w:rPr>
          <w:rFonts w:hint="eastAsia" w:ascii="仿宋_GB2312" w:eastAsia="仿宋_GB2312" w:cs="仿宋_GB2312"/>
          <w:sz w:val="32"/>
          <w:szCs w:val="32"/>
          <w:lang w:val="en-US" w:eastAsia="zh-CN"/>
        </w:rPr>
      </w:pPr>
    </w:p>
    <w:sectPr>
      <w:footerReference r:id="rId3" w:type="default"/>
      <w:pgSz w:w="11906" w:h="16838"/>
      <w:pgMar w:top="2098" w:right="1474" w:bottom="181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4F"/>
    <w:family w:val="roman"/>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1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DKpeW+AwIAAPQD&#10;AAAOAAAAAAAAAAEAIAAAADsBAABkcnMvZTJvRG9jLnhtbFBLBQYAAAAABgAGAFkBAACwBQAAAAA=&#10;">
              <v:fill on="f" focussize="0,0"/>
              <v:stroke on="f" weight="0.5pt" joinstyle="round"/>
              <v:imagedata o:title=""/>
              <o:lock v:ext="edit" aspectratio="f"/>
              <v:textbox inset="0mm,0mm,0mm,0mm" style="mso-fit-shape-to-text:t;">
                <w:txbxContent>
                  <w:p>
                    <w:pPr>
                      <w:pStyle w:val="1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TY0YmQwOTA5MjNiMmY2NmFkOWRlNzVkYWJkNmRmOTEifQ=="/>
  </w:docVars>
  <w:rsids>
    <w:rsidRoot w:val="00000000"/>
    <w:rsid w:val="08790DDE"/>
    <w:rsid w:val="162D5DBF"/>
    <w:rsid w:val="17F7B25E"/>
    <w:rsid w:val="1E6D31C2"/>
    <w:rsid w:val="2BFA4CC8"/>
    <w:rsid w:val="2F5F79C4"/>
    <w:rsid w:val="2FB9EF86"/>
    <w:rsid w:val="2FFF782C"/>
    <w:rsid w:val="38E8FF7B"/>
    <w:rsid w:val="393FC975"/>
    <w:rsid w:val="3B7BA279"/>
    <w:rsid w:val="3B7CC42C"/>
    <w:rsid w:val="3BB99701"/>
    <w:rsid w:val="3BF7FBA3"/>
    <w:rsid w:val="3DC79729"/>
    <w:rsid w:val="3E5C24FF"/>
    <w:rsid w:val="3EAEC414"/>
    <w:rsid w:val="3FBF35C6"/>
    <w:rsid w:val="3FCB4060"/>
    <w:rsid w:val="3FDCD0B2"/>
    <w:rsid w:val="3FFC2744"/>
    <w:rsid w:val="408C03E7"/>
    <w:rsid w:val="40C77369"/>
    <w:rsid w:val="44554CA3"/>
    <w:rsid w:val="4D6D00E7"/>
    <w:rsid w:val="4E632DBC"/>
    <w:rsid w:val="4E7F7F73"/>
    <w:rsid w:val="4F638DDA"/>
    <w:rsid w:val="4FF35C1E"/>
    <w:rsid w:val="517FD314"/>
    <w:rsid w:val="537FE1ED"/>
    <w:rsid w:val="53DB6C9B"/>
    <w:rsid w:val="53F0534E"/>
    <w:rsid w:val="547E94CA"/>
    <w:rsid w:val="55B96065"/>
    <w:rsid w:val="5BFF8931"/>
    <w:rsid w:val="5DABFE1E"/>
    <w:rsid w:val="5DD299D0"/>
    <w:rsid w:val="5E3E8BEE"/>
    <w:rsid w:val="5EBE9900"/>
    <w:rsid w:val="5EFA867A"/>
    <w:rsid w:val="5F0F308F"/>
    <w:rsid w:val="5F7BA033"/>
    <w:rsid w:val="5FEFCBD2"/>
    <w:rsid w:val="5FFE14B7"/>
    <w:rsid w:val="65F5B65E"/>
    <w:rsid w:val="677DD5FE"/>
    <w:rsid w:val="67C391FA"/>
    <w:rsid w:val="6A78330E"/>
    <w:rsid w:val="6BEF7E63"/>
    <w:rsid w:val="6DF774F2"/>
    <w:rsid w:val="6DF7B5B7"/>
    <w:rsid w:val="6DFE3C95"/>
    <w:rsid w:val="6E7F5AAB"/>
    <w:rsid w:val="6FC8DCA8"/>
    <w:rsid w:val="6FDD16C6"/>
    <w:rsid w:val="6FFFA01D"/>
    <w:rsid w:val="70FF18D0"/>
    <w:rsid w:val="73FFE897"/>
    <w:rsid w:val="767FDCA1"/>
    <w:rsid w:val="76FBFB98"/>
    <w:rsid w:val="773CB026"/>
    <w:rsid w:val="775FAFE7"/>
    <w:rsid w:val="777F2EEA"/>
    <w:rsid w:val="77FD4891"/>
    <w:rsid w:val="795F249C"/>
    <w:rsid w:val="7BE74623"/>
    <w:rsid w:val="7BFF3E47"/>
    <w:rsid w:val="7D46FFAB"/>
    <w:rsid w:val="7D6F0AA1"/>
    <w:rsid w:val="7DCB194D"/>
    <w:rsid w:val="7E5FF721"/>
    <w:rsid w:val="7E6D26FA"/>
    <w:rsid w:val="7E96BB53"/>
    <w:rsid w:val="7E9B9E65"/>
    <w:rsid w:val="7EBB26C9"/>
    <w:rsid w:val="7EEF6E5E"/>
    <w:rsid w:val="7EF9645B"/>
    <w:rsid w:val="7EFBB411"/>
    <w:rsid w:val="7F393C55"/>
    <w:rsid w:val="7F3B8A71"/>
    <w:rsid w:val="7F3FFD04"/>
    <w:rsid w:val="7F566ACC"/>
    <w:rsid w:val="7F6D3E67"/>
    <w:rsid w:val="7F93F838"/>
    <w:rsid w:val="7F9D771B"/>
    <w:rsid w:val="7FB696A0"/>
    <w:rsid w:val="7FBBA474"/>
    <w:rsid w:val="7FBD97F8"/>
    <w:rsid w:val="7FDF0362"/>
    <w:rsid w:val="8798BBB3"/>
    <w:rsid w:val="9CFB1913"/>
    <w:rsid w:val="9FF4C347"/>
    <w:rsid w:val="A3F2F333"/>
    <w:rsid w:val="AD7FA486"/>
    <w:rsid w:val="AF77D088"/>
    <w:rsid w:val="B6F96F59"/>
    <w:rsid w:val="B7DBF128"/>
    <w:rsid w:val="BBFFC280"/>
    <w:rsid w:val="BDFCBD20"/>
    <w:rsid w:val="BE7FF993"/>
    <w:rsid w:val="BF7F80D3"/>
    <w:rsid w:val="BFFB81D0"/>
    <w:rsid w:val="C1CFA51E"/>
    <w:rsid w:val="C73D3B34"/>
    <w:rsid w:val="C9AF9654"/>
    <w:rsid w:val="CDC52528"/>
    <w:rsid w:val="CE7EDACF"/>
    <w:rsid w:val="CFD7CE30"/>
    <w:rsid w:val="D56E0E67"/>
    <w:rsid w:val="D776AEC6"/>
    <w:rsid w:val="DA691682"/>
    <w:rsid w:val="DA6D7FDB"/>
    <w:rsid w:val="DCCC7D9A"/>
    <w:rsid w:val="DD7BD0F0"/>
    <w:rsid w:val="DE3FFDF0"/>
    <w:rsid w:val="DECF2A7B"/>
    <w:rsid w:val="DF313C62"/>
    <w:rsid w:val="DFCE8B58"/>
    <w:rsid w:val="DFF9CCD4"/>
    <w:rsid w:val="E3FC5124"/>
    <w:rsid w:val="E5BFDE7D"/>
    <w:rsid w:val="E5FE7BA8"/>
    <w:rsid w:val="E8FF99C9"/>
    <w:rsid w:val="ED1F72E1"/>
    <w:rsid w:val="EDE7D6AC"/>
    <w:rsid w:val="EDFBE06C"/>
    <w:rsid w:val="EEBEBCD0"/>
    <w:rsid w:val="EEFFE211"/>
    <w:rsid w:val="EF5DD791"/>
    <w:rsid w:val="EFFB20AF"/>
    <w:rsid w:val="EFFFE8AC"/>
    <w:rsid w:val="F175DA1D"/>
    <w:rsid w:val="F52FA40D"/>
    <w:rsid w:val="F6DD97F2"/>
    <w:rsid w:val="F6FF8A66"/>
    <w:rsid w:val="F73E728F"/>
    <w:rsid w:val="F7AD4F3E"/>
    <w:rsid w:val="F7DD0350"/>
    <w:rsid w:val="FBFBC3CF"/>
    <w:rsid w:val="FBFF9E24"/>
    <w:rsid w:val="FCFAD089"/>
    <w:rsid w:val="FD959668"/>
    <w:rsid w:val="FDFCAB76"/>
    <w:rsid w:val="FEF76D25"/>
    <w:rsid w:val="FEFB036B"/>
    <w:rsid w:val="FEFF96F2"/>
    <w:rsid w:val="FFBEC435"/>
    <w:rsid w:val="FFBF3257"/>
    <w:rsid w:val="FFC7F166"/>
    <w:rsid w:val="FFD15E14"/>
    <w:rsid w:val="FFDA4CB0"/>
    <w:rsid w:val="FFDD3A47"/>
    <w:rsid w:val="FFEBBC84"/>
    <w:rsid w:val="FFEFE24E"/>
    <w:rsid w:val="FFF59620"/>
    <w:rsid w:val="FFFD6A7E"/>
    <w:rsid w:val="FFFF9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napToGrid w:val="0"/>
      <w:spacing w:line="360" w:lineRule="auto"/>
    </w:pPr>
    <w:rPr>
      <w:sz w:val="24"/>
    </w:rPr>
  </w:style>
  <w:style w:type="paragraph" w:styleId="6">
    <w:name w:val="toc 1"/>
    <w:basedOn w:val="1"/>
    <w:next w:val="1"/>
    <w:qFormat/>
    <w:uiPriority w:val="0"/>
    <w:pPr>
      <w:adjustRightInd w:val="0"/>
      <w:snapToGrid w:val="0"/>
      <w:spacing w:line="280" w:lineRule="exact"/>
      <w:jc w:val="center"/>
    </w:pPr>
    <w:rPr>
      <w:sz w:val="24"/>
      <w:szCs w:val="20"/>
    </w:rPr>
  </w:style>
  <w:style w:type="paragraph" w:styleId="7">
    <w:name w:val="annotation text"/>
    <w:basedOn w:val="1"/>
    <w:qFormat/>
    <w:uiPriority w:val="0"/>
    <w:pPr>
      <w:jc w:val="left"/>
    </w:pPr>
  </w:style>
  <w:style w:type="paragraph" w:styleId="8">
    <w:name w:val="Body Text"/>
    <w:basedOn w:val="1"/>
    <w:next w:val="9"/>
    <w:qFormat/>
    <w:uiPriority w:val="0"/>
    <w:pPr>
      <w:spacing w:line="240" w:lineRule="atLeast"/>
    </w:pPr>
    <w:rPr>
      <w:sz w:val="28"/>
    </w:rPr>
  </w:style>
  <w:style w:type="paragraph" w:customStyle="1" w:styleId="9">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Body Text First Indent"/>
    <w:basedOn w:val="8"/>
    <w:qFormat/>
    <w:uiPriority w:val="0"/>
    <w:pPr>
      <w:spacing w:after="120"/>
      <w:ind w:firstLine="100" w:firstLineChars="100"/>
    </w:pPr>
    <w:rPr>
      <w:sz w:val="21"/>
      <w:szCs w:val="24"/>
    </w:r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yperlink"/>
    <w:basedOn w:val="14"/>
    <w:qFormat/>
    <w:uiPriority w:val="0"/>
    <w:rPr>
      <w:color w:val="000000"/>
      <w:u w:val="none"/>
    </w:rPr>
  </w:style>
  <w:style w:type="paragraph" w:customStyle="1" w:styleId="18">
    <w:name w:val="Default"/>
    <w:basedOn w:val="19"/>
    <w:qFormat/>
    <w:uiPriority w:val="0"/>
    <w:pPr>
      <w:widowControl w:val="0"/>
      <w:autoSpaceDE w:val="0"/>
      <w:autoSpaceDN w:val="0"/>
      <w:adjustRightInd w:val="0"/>
    </w:pPr>
    <w:rPr>
      <w:color w:val="000000"/>
      <w:sz w:val="24"/>
      <w:szCs w:val="24"/>
      <w:lang w:val="en-US" w:eastAsia="zh-CN" w:bidi="ar-SA"/>
    </w:rPr>
  </w:style>
  <w:style w:type="paragraph" w:customStyle="1" w:styleId="1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0">
    <w:name w:val="样式 样式 样式 四号 左侧:  1.53 厘米 + 首行缩进:  2 字符 + 居中 左侧:  2 字符 首行缩进:  2..."/>
    <w:basedOn w:val="21"/>
    <w:qFormat/>
    <w:uiPriority w:val="0"/>
    <w:pPr>
      <w:jc w:val="center"/>
    </w:pPr>
  </w:style>
  <w:style w:type="paragraph" w:customStyle="1" w:styleId="21">
    <w:name w:val="样式 样式 四号 左侧:  1.53 厘米 + 首行缩进:  2 字符"/>
    <w:basedOn w:val="22"/>
    <w:qFormat/>
    <w:uiPriority w:val="0"/>
    <w:pPr>
      <w:ind w:left="200" w:leftChars="200"/>
    </w:pPr>
    <w:rPr>
      <w:szCs w:val="20"/>
    </w:rPr>
  </w:style>
  <w:style w:type="paragraph" w:customStyle="1" w:styleId="22">
    <w:name w:val="样式 四号 左侧:  1.53 厘米"/>
    <w:basedOn w:val="1"/>
    <w:qFormat/>
    <w:uiPriority w:val="0"/>
    <w:pPr>
      <w:adjustRightInd w:val="0"/>
    </w:pPr>
    <w:rPr>
      <w:w w:val="90"/>
      <w:sz w:val="28"/>
      <w:szCs w:val="28"/>
    </w:rPr>
  </w:style>
  <w:style w:type="character" w:customStyle="1" w:styleId="23">
    <w:name w:val="NormalCharacter"/>
    <w:qFormat/>
    <w:uiPriority w:val="0"/>
    <w:rPr>
      <w:rFonts w:ascii="Times New Roman" w:hAnsi="Times New Roman" w:eastAsia="宋体"/>
    </w:rPr>
  </w:style>
  <w:style w:type="character" w:customStyle="1" w:styleId="24">
    <w:name w:val="cur1"/>
    <w:basedOn w:val="14"/>
    <w:qFormat/>
    <w:uiPriority w:val="0"/>
    <w:rPr>
      <w:color w:val="FFFFFF"/>
      <w:shd w:val="clear" w:color="auto" w:fill="2F6B98"/>
    </w:rPr>
  </w:style>
  <w:style w:type="character" w:customStyle="1" w:styleId="25">
    <w:name w:val="znspantitle"/>
    <w:basedOn w:val="14"/>
    <w:qFormat/>
    <w:uiPriority w:val="0"/>
    <w:rPr>
      <w:b/>
      <w:bCs/>
      <w:color w:val="333333"/>
    </w:rPr>
  </w:style>
  <w:style w:type="character" w:customStyle="1" w:styleId="26">
    <w:name w:val="lable"/>
    <w:basedOn w:val="14"/>
    <w:qFormat/>
    <w:uiPriority w:val="0"/>
    <w:rPr>
      <w:sz w:val="24"/>
      <w:szCs w:val="24"/>
    </w:rPr>
  </w:style>
  <w:style w:type="character" w:customStyle="1" w:styleId="27">
    <w:name w:val="lishishuju"/>
    <w:basedOn w:val="14"/>
    <w:qFormat/>
    <w:uiPriority w:val="0"/>
    <w:rPr>
      <w:b/>
      <w:bCs/>
      <w:color w:val="000052"/>
      <w:sz w:val="24"/>
      <w:szCs w:val="24"/>
      <w:bdr w:val="single" w:color="E3E3E3" w:sz="6" w:space="0"/>
    </w:rPr>
  </w:style>
  <w:style w:type="character" w:customStyle="1" w:styleId="28">
    <w:name w:val="radio-btn"/>
    <w:basedOn w:val="14"/>
    <w:qFormat/>
    <w:uiPriority w:val="0"/>
    <w:rPr>
      <w:sz w:val="24"/>
      <w:szCs w:val="24"/>
    </w:rPr>
  </w:style>
  <w:style w:type="character" w:customStyle="1" w:styleId="29">
    <w:name w:val="radio-btn1"/>
    <w:basedOn w:val="14"/>
    <w:qFormat/>
    <w:uiPriority w:val="0"/>
    <w:rPr>
      <w:sz w:val="24"/>
      <w:szCs w:val="24"/>
    </w:rPr>
  </w:style>
  <w:style w:type="character" w:customStyle="1" w:styleId="30">
    <w:name w:val="radio-btn2"/>
    <w:basedOn w:val="14"/>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35</Words>
  <Characters>36</Characters>
  <Lines>2</Lines>
  <Paragraphs>0</Paragraphs>
  <TotalTime>7</TotalTime>
  <ScaleCrop>false</ScaleCrop>
  <LinksUpToDate>false</LinksUpToDate>
  <CharactersWithSpaces>36</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2021-04-03T01:03:00Z</dcterms:created>
  <dc:creator>w's'd</dc:creator>
  <cp:lastModifiedBy>user</cp:lastModifiedBy>
  <cp:lastPrinted>2026-05-28T06:18:00Z</cp:lastPrinted>
  <dcterms:modified xsi:type="dcterms:W3CDTF">2026-06-05T13:58:24Z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695005B05D73EDE39FBD136ACE0806B1_43</vt:lpwstr>
  </property>
</Properties>
</file>