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070C2">
      <w:pPr>
        <w:snapToGrid w:val="0"/>
        <w:spacing w:line="560" w:lineRule="exact"/>
        <w:jc w:val="right"/>
        <w:rPr>
          <w:rFonts w:ascii="仿宋" w:eastAsia="仿宋" w:cs="Times New Roman"/>
          <w:b/>
          <w:bCs/>
          <w:kern w:val="0"/>
          <w:sz w:val="44"/>
          <w:szCs w:val="44"/>
        </w:rPr>
      </w:pPr>
      <w:r>
        <w:rPr>
          <w:rFonts w:hint="eastAsia" w:ascii="仿宋" w:eastAsia="仿宋" w:cs="Times New Roman"/>
          <w:sz w:val="32"/>
          <w:szCs w:val="32"/>
          <w:lang w:val="en-US" w:eastAsia="zh-CN"/>
        </w:rPr>
        <w:t xml:space="preserve"> </w:t>
      </w:r>
      <w:r>
        <w:rPr>
          <w:rFonts w:hint="eastAsia" w:ascii="仿宋" w:eastAsia="仿宋" w:cs="Times New Roman"/>
          <w:sz w:val="32"/>
          <w:szCs w:val="32"/>
        </w:rPr>
        <w:t xml:space="preserve">     </w:t>
      </w:r>
    </w:p>
    <w:p w14:paraId="233B83D3">
      <w:pPr>
        <w:spacing w:before="156" w:beforeLines="50" w:after="156" w:afterLines="50" w:line="560" w:lineRule="exact"/>
        <w:jc w:val="righ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秦审批环准许〔</w:t>
      </w:r>
      <w:r>
        <w:rPr>
          <w:rFonts w:hint="default" w:ascii="Times New Roman" w:hAnsi="Times New Roman" w:eastAsia="仿宋_GB2312" w:cs="仿宋_GB2312"/>
          <w:sz w:val="32"/>
          <w:szCs w:val="32"/>
          <w:lang w:val="en-US"/>
        </w:rPr>
        <w:t>2026</w:t>
      </w:r>
      <w:r>
        <w:rPr>
          <w:rFonts w:hint="eastAsia" w:ascii="Times New Roman" w:hAnsi="Times New Roman" w:eastAsia="仿宋_GB2312" w:cs="仿宋_GB2312"/>
          <w:sz w:val="32"/>
          <w:szCs w:val="32"/>
        </w:rPr>
        <w:t>〕01-</w:t>
      </w:r>
      <w:r>
        <w:rPr>
          <w:rFonts w:hint="eastAsia" w:ascii="Times New Roman" w:hAnsi="Times New Roman" w:eastAsia="仿宋_GB2312" w:cs="仿宋_GB2312"/>
          <w:color w:val="auto"/>
          <w:sz w:val="32"/>
          <w:szCs w:val="32"/>
        </w:rPr>
        <w:t>00</w:t>
      </w:r>
      <w:r>
        <w:rPr>
          <w:rFonts w:hint="eastAsia" w:ascii="Times New Roman" w:hAnsi="Times New Roman" w:eastAsia="仿宋_GB2312" w:cs="仿宋_GB2312"/>
          <w:color w:val="auto"/>
          <w:sz w:val="32"/>
          <w:szCs w:val="32"/>
          <w:lang w:val="en-US" w:eastAsia="zh-CN"/>
        </w:rPr>
        <w:t>17</w:t>
      </w:r>
      <w:r>
        <w:rPr>
          <w:rFonts w:hint="eastAsia" w:ascii="Times New Roman" w:hAnsi="Times New Roman" w:eastAsia="仿宋_GB2312" w:cs="仿宋_GB2312"/>
          <w:sz w:val="32"/>
          <w:szCs w:val="32"/>
        </w:rPr>
        <w:t>号</w:t>
      </w:r>
    </w:p>
    <w:p w14:paraId="65ABA636">
      <w:pPr>
        <w:spacing w:line="600" w:lineRule="exact"/>
        <w:jc w:val="center"/>
        <w:rPr>
          <w:rFonts w:hint="eastAsia" w:ascii="方正小标宋简体" w:eastAsia="方正小标宋简体" w:cs="方正小标宋_GBK"/>
          <w:kern w:val="44"/>
          <w:sz w:val="44"/>
          <w:szCs w:val="44"/>
        </w:rPr>
      </w:pPr>
      <w:r>
        <w:rPr>
          <w:rFonts w:hint="eastAsia" w:ascii="方正小标宋简体" w:eastAsia="方正小标宋简体" w:cs="方正小标宋_GBK"/>
          <w:kern w:val="44"/>
          <w:sz w:val="44"/>
          <w:szCs w:val="44"/>
        </w:rPr>
        <w:t>关于</w:t>
      </w:r>
      <w:r>
        <w:rPr>
          <w:rFonts w:hint="default" w:ascii="方正小标宋简体" w:eastAsia="方正小标宋简体" w:cs="方正小标宋_GBK"/>
          <w:kern w:val="44"/>
          <w:sz w:val="44"/>
          <w:szCs w:val="44"/>
          <w:lang w:val="en-US" w:eastAsia="zh-CN"/>
        </w:rPr>
        <w:t>青龙满族自治县滦鑫矿业有限公司铁选厂技改项目</w:t>
      </w:r>
      <w:r>
        <w:rPr>
          <w:rFonts w:hint="eastAsia" w:ascii="方正小标宋简体" w:eastAsia="方正小标宋简体" w:cs="方正小标宋_GBK"/>
          <w:kern w:val="44"/>
          <w:sz w:val="44"/>
          <w:szCs w:val="44"/>
        </w:rPr>
        <w:t>环境</w:t>
      </w:r>
      <w:r>
        <w:rPr>
          <w:rFonts w:hint="eastAsia" w:ascii="方正小标宋简体" w:eastAsia="方正小标宋简体" w:cs="方正小标宋_GBK"/>
          <w:kern w:val="44"/>
          <w:sz w:val="44"/>
          <w:szCs w:val="44"/>
          <w:lang w:eastAsia="zh-CN"/>
        </w:rPr>
        <w:t>影</w:t>
      </w:r>
      <w:r>
        <w:rPr>
          <w:rFonts w:hint="eastAsia" w:ascii="方正小标宋简体" w:eastAsia="方正小标宋简体" w:cs="方正小标宋_GBK"/>
          <w:kern w:val="44"/>
          <w:sz w:val="44"/>
          <w:szCs w:val="44"/>
        </w:rPr>
        <w:t>响报告书的批复</w:t>
      </w:r>
    </w:p>
    <w:p w14:paraId="0B099D2B">
      <w:pPr>
        <w:widowControl/>
        <w:adjustRightInd w:val="0"/>
        <w:snapToGrid w:val="0"/>
        <w:spacing w:line="560" w:lineRule="exact"/>
        <w:rPr>
          <w:rFonts w:ascii="仿宋_GB2312" w:eastAsia="仿宋_GB2312" w:cs="仿宋_GB2312"/>
          <w:sz w:val="32"/>
          <w:szCs w:val="32"/>
        </w:rPr>
      </w:pPr>
    </w:p>
    <w:p w14:paraId="398F922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青龙满族自治县滦鑫矿业有限公司</w:t>
      </w:r>
      <w:r>
        <w:rPr>
          <w:rFonts w:hint="eastAsia" w:ascii="仿宋_GB2312" w:hAnsi="仿宋_GB2312" w:eastAsia="仿宋_GB2312" w:cs="仿宋_GB2312"/>
          <w:sz w:val="32"/>
          <w:szCs w:val="32"/>
        </w:rPr>
        <w:t>：</w:t>
      </w:r>
    </w:p>
    <w:p w14:paraId="270C60B7">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所</w:t>
      </w:r>
      <w:r>
        <w:rPr>
          <w:rFonts w:hint="eastAsia" w:ascii="仿宋_GB2312" w:hAnsi="仿宋_GB2312" w:eastAsia="仿宋_GB2312" w:cs="仿宋_GB2312"/>
          <w:sz w:val="32"/>
          <w:szCs w:val="32"/>
        </w:rPr>
        <w:t>报《</w:t>
      </w:r>
      <w:r>
        <w:rPr>
          <w:rFonts w:hint="default" w:ascii="仿宋_GB2312" w:hAnsi="仿宋_GB2312" w:eastAsia="仿宋_GB2312" w:cs="仿宋_GB2312"/>
          <w:sz w:val="32"/>
          <w:szCs w:val="32"/>
          <w:lang w:val="en-US" w:eastAsia="zh-CN"/>
        </w:rPr>
        <w:t>青龙满族自治县滦鑫矿业有限公司铁选厂技改项目</w:t>
      </w:r>
      <w:r>
        <w:rPr>
          <w:rFonts w:hint="eastAsia" w:ascii="仿宋_GB2312" w:hAnsi="仿宋_GB2312" w:eastAsia="仿宋_GB2312" w:cs="仿宋_GB2312"/>
          <w:sz w:val="32"/>
          <w:szCs w:val="32"/>
        </w:rPr>
        <w:t>环境影响报告书》（以下简称《报告书》）</w:t>
      </w:r>
      <w:r>
        <w:rPr>
          <w:rFonts w:hint="eastAsia" w:ascii="仿宋_GB2312" w:hAnsi="仿宋_GB2312" w:eastAsia="仿宋_GB2312" w:cs="仿宋_GB2312"/>
          <w:color w:val="000000"/>
          <w:sz w:val="32"/>
          <w:szCs w:val="32"/>
          <w:shd w:val="clear" w:color="auto" w:fill="FFFFFF"/>
        </w:rPr>
        <w:t>审批申请</w:t>
      </w:r>
      <w:r>
        <w:rPr>
          <w:rFonts w:hint="eastAsia" w:ascii="仿宋_GB2312" w:hAnsi="仿宋_GB2312" w:eastAsia="仿宋_GB2312" w:cs="仿宋_GB2312"/>
          <w:spacing w:val="-6"/>
          <w:sz w:val="32"/>
          <w:szCs w:val="32"/>
        </w:rPr>
        <w:t>及公众参与说明等相关申报材料收悉。根据环评结论和专家意见，结合本项目公参与公示意见反馈等方面情况</w:t>
      </w:r>
      <w:r>
        <w:rPr>
          <w:rFonts w:hint="eastAsia" w:ascii="仿宋_GB2312" w:hAnsi="仿宋_GB2312" w:eastAsia="仿宋_GB2312" w:cs="仿宋_GB2312"/>
          <w:kern w:val="0"/>
          <w:sz w:val="32"/>
          <w:szCs w:val="32"/>
        </w:rPr>
        <w:t xml:space="preserve">，经研究，现批复如下：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ab/>
      </w:r>
    </w:p>
    <w:p w14:paraId="20F25AEC">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一、项目建设内容和总体要求</w:t>
      </w:r>
    </w:p>
    <w:p w14:paraId="66C7CDBC">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仿宋_GB2312" w:hAnsi="仿宋_GB2312" w:eastAsia="仿宋_GB2312" w:cs="仿宋_GB2312"/>
          <w:color w:val="auto"/>
          <w:spacing w:val="-6"/>
          <w:sz w:val="32"/>
          <w:szCs w:val="32"/>
          <w:lang w:val="en-US" w:eastAsia="zh-CN"/>
        </w:rPr>
      </w:pPr>
      <w:r>
        <w:rPr>
          <w:rFonts w:hint="default" w:ascii="仿宋_GB2312" w:hAnsi="仿宋_GB2312" w:eastAsia="仿宋_GB2312" w:cs="仿宋_GB2312"/>
          <w:spacing w:val="-6"/>
          <w:sz w:val="32"/>
          <w:szCs w:val="32"/>
          <w:lang w:val="en-US" w:eastAsia="zh-CN"/>
        </w:rPr>
        <w:t>青龙满族自治县滦鑫矿业有限公司铁选厂技改项目</w:t>
      </w:r>
      <w:r>
        <w:rPr>
          <w:rFonts w:hint="eastAsia" w:ascii="仿宋_GB2312" w:hAnsi="仿宋_GB2312" w:eastAsia="仿宋_GB2312" w:cs="仿宋_GB2312"/>
          <w:spacing w:val="-6"/>
          <w:sz w:val="32"/>
          <w:szCs w:val="32"/>
          <w:lang w:val="en-US" w:eastAsia="zh-CN"/>
        </w:rPr>
        <w:t>位于</w:t>
      </w:r>
      <w:r>
        <w:rPr>
          <w:rFonts w:hint="eastAsia" w:ascii="仿宋_GB2312" w:hAnsi="仿宋_GB2312" w:eastAsia="仿宋_GB2312" w:cs="仿宋_GB2312"/>
          <w:color w:val="000000"/>
          <w:kern w:val="0"/>
          <w:sz w:val="32"/>
          <w:szCs w:val="32"/>
          <w:lang w:val="en-US" w:eastAsia="zh-CN" w:bidi="ar"/>
        </w:rPr>
        <w:t>河北省秦皇岛市青龙满族自治县大石岭乡大石岭村青龙满族自治县滦鑫矿业有限公司现有厂区范围内</w:t>
      </w:r>
      <w:r>
        <w:rPr>
          <w:rFonts w:hint="eastAsia" w:ascii="仿宋_GB2312" w:hAnsi="仿宋_GB2312" w:eastAsia="仿宋_GB2312" w:cs="仿宋_GB2312"/>
          <w:spacing w:val="-6"/>
          <w:sz w:val="32"/>
          <w:szCs w:val="32"/>
          <w:lang w:val="en-US" w:eastAsia="zh-CN"/>
        </w:rPr>
        <w:t>，主要建设内容</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color w:val="000000"/>
          <w:kern w:val="0"/>
          <w:sz w:val="32"/>
          <w:szCs w:val="32"/>
          <w:lang w:val="en-US" w:eastAsia="zh-CN" w:bidi="ar"/>
        </w:rPr>
        <w:t>本项目对原铁精粉生产线进行改造，更换部分破旧高耗能设备，增加砂石骨料处理及环保除尘设施，新上尾矿干排设施，将尾矿排放方式由湿排改为干排，改造完成后年处理铁矿石30万吨，年产铁精粉7.8万吨，机制砂7万吨，石子0.7万吨。</w:t>
      </w:r>
      <w:r>
        <w:rPr>
          <w:rFonts w:hint="eastAsia" w:ascii="仿宋_GB2312" w:hAnsi="仿宋_GB2312" w:eastAsia="仿宋_GB2312" w:cs="仿宋_GB2312"/>
          <w:spacing w:val="-6"/>
          <w:sz w:val="32"/>
          <w:szCs w:val="32"/>
          <w:lang w:val="en-US" w:eastAsia="zh-CN"/>
        </w:rPr>
        <w:t>工程总投资1</w:t>
      </w:r>
      <w:r>
        <w:rPr>
          <w:rFonts w:hint="default" w:ascii="仿宋_GB2312" w:hAnsi="仿宋_GB2312" w:eastAsia="仿宋_GB2312" w:cs="仿宋_GB2312"/>
          <w:spacing w:val="-6"/>
          <w:sz w:val="32"/>
          <w:szCs w:val="32"/>
          <w:lang w:val="en-US" w:eastAsia="zh-CN"/>
        </w:rPr>
        <w:t>01</w:t>
      </w:r>
      <w:r>
        <w:rPr>
          <w:rFonts w:hint="eastAsia" w:ascii="仿宋_GB2312" w:hAnsi="仿宋_GB2312" w:eastAsia="仿宋_GB2312" w:cs="仿宋_GB2312"/>
          <w:spacing w:val="-6"/>
          <w:sz w:val="32"/>
          <w:szCs w:val="32"/>
          <w:lang w:val="en-US" w:eastAsia="zh-CN"/>
        </w:rPr>
        <w:t>0万元</w:t>
      </w:r>
      <w:r>
        <w:rPr>
          <w:rFonts w:hint="eastAsia" w:ascii="仿宋_GB2312" w:hAnsi="仿宋_GB2312" w:eastAsia="仿宋_GB2312" w:cs="仿宋_GB2312"/>
          <w:color w:val="auto"/>
          <w:spacing w:val="-6"/>
          <w:sz w:val="32"/>
          <w:szCs w:val="32"/>
          <w:lang w:val="en-US" w:eastAsia="zh-CN"/>
        </w:rPr>
        <w:t>，其中环保投资</w:t>
      </w:r>
      <w:r>
        <w:rPr>
          <w:rFonts w:hint="default" w:ascii="仿宋_GB2312" w:hAnsi="仿宋_GB2312" w:eastAsia="仿宋_GB2312" w:cs="仿宋_GB2312"/>
          <w:color w:val="auto"/>
          <w:spacing w:val="-6"/>
          <w:sz w:val="32"/>
          <w:szCs w:val="32"/>
          <w:lang w:val="en-US" w:eastAsia="zh-CN"/>
        </w:rPr>
        <w:t>275</w:t>
      </w:r>
      <w:r>
        <w:rPr>
          <w:rFonts w:hint="eastAsia" w:ascii="仿宋_GB2312" w:hAnsi="仿宋_GB2312" w:eastAsia="仿宋_GB2312" w:cs="仿宋_GB2312"/>
          <w:color w:val="auto"/>
          <w:spacing w:val="-6"/>
          <w:sz w:val="32"/>
          <w:szCs w:val="32"/>
          <w:lang w:val="en-US" w:eastAsia="zh-CN"/>
        </w:rPr>
        <w:t>万元，占总投资的比例为</w:t>
      </w:r>
      <w:r>
        <w:rPr>
          <w:rFonts w:hint="default" w:ascii="仿宋_GB2312" w:hAnsi="仿宋_GB2312" w:eastAsia="仿宋_GB2312" w:cs="仿宋_GB2312"/>
          <w:color w:val="auto"/>
          <w:spacing w:val="-6"/>
          <w:sz w:val="32"/>
          <w:szCs w:val="32"/>
          <w:lang w:val="en-US" w:eastAsia="zh-CN"/>
        </w:rPr>
        <w:t>27.23</w:t>
      </w:r>
      <w:r>
        <w:rPr>
          <w:rFonts w:hint="eastAsia" w:ascii="仿宋_GB2312" w:hAnsi="仿宋_GB2312" w:eastAsia="仿宋_GB2312" w:cs="仿宋_GB2312"/>
          <w:color w:val="auto"/>
          <w:spacing w:val="-6"/>
          <w:sz w:val="32"/>
          <w:szCs w:val="32"/>
          <w:lang w:val="en-US" w:eastAsia="zh-CN"/>
        </w:rPr>
        <w:t>%。</w:t>
      </w:r>
    </w:p>
    <w:p w14:paraId="720EF130">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auto"/>
        <w:rPr>
          <w:rFonts w:hint="default"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项目不属于《产业结构调整指导目录》（2024年本）限制、淘汰类；不属于《市场准入负面清单（2025年版）》中禁止准入类、不属于《河北省发展和改革委员会关于加强新建“两高”项目管理的通知》（冀发改环资〔2022〕691号）中“两高”项目范围。；该项目已通过青龙满族自治县发展和改革局备案（备案编号：青发改备字〔2026〕第9号）。</w:t>
      </w:r>
    </w:p>
    <w:p w14:paraId="574E0F9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项目实施须符合规划环评、“三线一单”空间管控等要求;项目建设须符合城乡建设、土地利用、地方产业布局等相关规划要求。</w:t>
      </w:r>
    </w:p>
    <w:p w14:paraId="6D254DBC">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该《报告书》已通过河北超泰环保科技有限公司评估，结合评估意见（超泰环评［2026］0</w:t>
      </w:r>
      <w:r>
        <w:rPr>
          <w:rFonts w:hint="eastAsia" w:ascii="仿宋_GB2312" w:hAnsi="仿宋_GB2312" w:eastAsia="仿宋_GB2312" w:cs="仿宋_GB2312"/>
          <w:spacing w:val="-6"/>
          <w:sz w:val="32"/>
          <w:szCs w:val="32"/>
          <w:lang w:val="en-US" w:eastAsia="zh-CN"/>
        </w:rPr>
        <w:t>43</w:t>
      </w:r>
      <w:r>
        <w:rPr>
          <w:rFonts w:hint="eastAsia" w:ascii="仿宋_GB2312" w:hAnsi="仿宋_GB2312" w:eastAsia="仿宋_GB2312" w:cs="仿宋_GB2312"/>
          <w:spacing w:val="-6"/>
          <w:sz w:val="32"/>
          <w:szCs w:val="32"/>
        </w:rPr>
        <w:t>号）及公示反馈情况，在项目符合国家和地方产业政策，选址符合用地规划及环境保护功能区划以及全面落实环境影响报告书提出的各项污染防治措施后，工程建设对环境的不利影响能够得到减缓和控制。我局原则同意环境影响报告书中所列建设项目的地点、性质、规模、工艺和拟采取的环境保护措施。</w:t>
      </w:r>
    </w:p>
    <w:p w14:paraId="1F4C0DA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项目须加强生产全过程管理，强化综合利用，降低能耗物耗，减少各种污染物的产生量和排放量。同时，你公司在项目建设和运行过程中要认真落实《报告书》提出的各项污染防治措施，确保各治污设施正常运行，各种污染物达标排放，各项环保设施设计应当由具有环保设施工程设计资质的单位承担，按照要求</w:t>
      </w:r>
      <w:r>
        <w:rPr>
          <w:rFonts w:hint="eastAsia" w:ascii="仿宋_GB2312" w:hAnsi="仿宋_GB2312" w:eastAsia="仿宋_GB2312" w:cs="仿宋_GB2312"/>
          <w:spacing w:val="-6"/>
          <w:sz w:val="32"/>
          <w:szCs w:val="32"/>
        </w:rPr>
        <w:t>认真落实各项污染防治措施，加强环保设施运营管理，确保满足相关要求，</w:t>
      </w:r>
      <w:r>
        <w:rPr>
          <w:rFonts w:hint="eastAsia" w:ascii="仿宋_GB2312" w:hAnsi="仿宋_GB2312" w:eastAsia="仿宋_GB2312" w:cs="仿宋_GB2312"/>
          <w:color w:val="000000"/>
          <w:kern w:val="0"/>
          <w:sz w:val="32"/>
          <w:szCs w:val="32"/>
        </w:rPr>
        <w:t>并重点做好以下工作：</w:t>
      </w:r>
    </w:p>
    <w:p w14:paraId="79E3E50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（一）加强施工期环境管理，减少施工对环境的影响</w:t>
      </w:r>
    </w:p>
    <w:p w14:paraId="489B1BA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项目施工期的主要内容</w:t>
      </w:r>
      <w:r>
        <w:rPr>
          <w:rFonts w:hint="eastAsia" w:ascii="仿宋_GB2312" w:hAnsi="仿宋_GB2312" w:eastAsia="仿宋_GB2312" w:cs="仿宋_GB2312"/>
          <w:color w:val="auto"/>
          <w:kern w:val="0"/>
          <w:sz w:val="32"/>
          <w:szCs w:val="32"/>
          <w:lang w:eastAsia="zh-CN"/>
        </w:rPr>
        <w:t>为</w:t>
      </w:r>
      <w:r>
        <w:rPr>
          <w:rFonts w:hint="eastAsia" w:ascii="仿宋_GB2312" w:hAnsi="仿宋_GB2312" w:eastAsia="仿宋_GB2312" w:cs="仿宋_GB2312"/>
          <w:color w:val="auto"/>
          <w:kern w:val="0"/>
          <w:sz w:val="32"/>
          <w:szCs w:val="32"/>
        </w:rPr>
        <w:t>对现有工程部分设施的拆除、生产车间的建设、设备的安装等。</w:t>
      </w:r>
      <w:r>
        <w:rPr>
          <w:rFonts w:hint="eastAsia" w:ascii="仿宋_GB2312" w:hAnsi="仿宋_GB2312" w:eastAsia="仿宋_GB2312" w:cs="仿宋_GB2312"/>
          <w:color w:val="auto"/>
          <w:spacing w:val="-6"/>
          <w:sz w:val="32"/>
          <w:szCs w:val="32"/>
        </w:rPr>
        <w:t>建设及施工单位要严格执行《国务院关于印发大气污染防治行动计划的通知》、《河北省扬尘污染防治办法》中有关施工扬尘的管理规定，同时结合《2024年建筑施工扬尘污染防治工作方案》、《2025年房屋建筑和市政工程施工扬尘污染防治工作要点》及同类施工场地采取的抑尘措施，落实各项控制扬尘污染措施，施工场地扬尘排放执行河北省地方标准《施工场地扬尘排放标准》（DB13/2934-2019）的要求。</w:t>
      </w:r>
      <w:r>
        <w:rPr>
          <w:rFonts w:hint="eastAsia" w:ascii="仿宋_GB2312" w:hAnsi="仿宋_GB2312" w:eastAsia="仿宋_GB2312" w:cs="仿宋_GB2312"/>
          <w:color w:val="auto"/>
          <w:kern w:val="0"/>
          <w:sz w:val="32"/>
          <w:szCs w:val="32"/>
          <w:highlight w:val="none"/>
          <w:lang w:eastAsia="zh-CN"/>
        </w:rPr>
        <w:t>施工期废水循环利用，盥洗废水就地泼洒抑尘。项</w:t>
      </w:r>
      <w:r>
        <w:rPr>
          <w:rFonts w:hint="eastAsia" w:ascii="仿宋_GB2312" w:hAnsi="仿宋_GB2312" w:eastAsia="仿宋_GB2312" w:cs="仿宋_GB2312"/>
          <w:color w:val="auto"/>
          <w:kern w:val="0"/>
          <w:sz w:val="32"/>
          <w:szCs w:val="32"/>
        </w:rPr>
        <w:t>目须采用低噪声施工机械，避免高噪声机械同时作业</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设专人对设备进行定期保养和维护，合理安排施工时间及进度，禁止夜间施工，确需夜间施工的，提前到相关部门登记并告知周边</w:t>
      </w:r>
      <w:r>
        <w:rPr>
          <w:rFonts w:hint="eastAsia" w:ascii="仿宋_GB2312" w:hAnsi="仿宋_GB2312" w:eastAsia="仿宋_GB2312" w:cs="仿宋_GB2312"/>
          <w:color w:val="auto"/>
          <w:kern w:val="0"/>
          <w:sz w:val="32"/>
          <w:szCs w:val="32"/>
          <w:lang w:eastAsia="zh-CN"/>
        </w:rPr>
        <w:t>居</w:t>
      </w:r>
      <w:r>
        <w:rPr>
          <w:rFonts w:hint="eastAsia" w:ascii="仿宋_GB2312" w:hAnsi="仿宋_GB2312" w:eastAsia="仿宋_GB2312" w:cs="仿宋_GB2312"/>
          <w:color w:val="auto"/>
          <w:kern w:val="0"/>
          <w:sz w:val="32"/>
          <w:szCs w:val="32"/>
        </w:rPr>
        <w:t>民，合理布局施工场地，厂界设置围墙</w:t>
      </w:r>
      <w:r>
        <w:rPr>
          <w:rFonts w:hint="eastAsia" w:ascii="仿宋_GB2312" w:hAnsi="仿宋_GB2312" w:eastAsia="仿宋_GB2312" w:cs="仿宋_GB2312"/>
          <w:color w:val="auto"/>
          <w:kern w:val="0"/>
          <w:sz w:val="32"/>
          <w:szCs w:val="32"/>
          <w:lang w:eastAsia="zh-CN"/>
        </w:rPr>
        <w:t>，运载建筑材料及建筑垃圾的车辆要选择合适的时间线路进行运输，运输车辆行驶路线应尽量避开居民点和环境敏感点，车辆行驶通过时应低速、禁鸣，</w:t>
      </w:r>
      <w:r>
        <w:rPr>
          <w:rFonts w:hint="eastAsia" w:ascii="仿宋_GB2312" w:hAnsi="仿宋_GB2312" w:eastAsia="仿宋_GB2312" w:cs="仿宋_GB2312"/>
          <w:color w:val="auto"/>
          <w:kern w:val="0"/>
          <w:sz w:val="32"/>
          <w:szCs w:val="32"/>
        </w:rPr>
        <w:t>施工阶段作业噪声要满足《建筑施工噪声排放标准》（GB12523-20</w:t>
      </w:r>
      <w:r>
        <w:rPr>
          <w:rFonts w:hint="eastAsia" w:ascii="仿宋_GB2312" w:hAnsi="仿宋_GB2312" w:eastAsia="仿宋_GB2312" w:cs="仿宋_GB2312"/>
          <w:color w:val="auto"/>
          <w:kern w:val="0"/>
          <w:sz w:val="32"/>
          <w:szCs w:val="32"/>
          <w:lang w:val="en-US" w:eastAsia="zh-CN"/>
        </w:rPr>
        <w:t>25</w:t>
      </w:r>
      <w:r>
        <w:rPr>
          <w:rFonts w:hint="eastAsia" w:ascii="仿宋_GB2312" w:hAnsi="仿宋_GB2312" w:eastAsia="仿宋_GB2312" w:cs="仿宋_GB2312"/>
          <w:color w:val="auto"/>
          <w:kern w:val="0"/>
          <w:sz w:val="32"/>
          <w:szCs w:val="32"/>
        </w:rPr>
        <w:t>）表1标准要求；施工期产生的生活垃圾由环卫部门统一收集处置</w:t>
      </w:r>
      <w:r>
        <w:rPr>
          <w:rFonts w:hint="eastAsia" w:ascii="仿宋_GB2312" w:hAnsi="仿宋_GB2312" w:eastAsia="仿宋_GB2312" w:cs="仿宋_GB2312"/>
          <w:color w:val="auto"/>
          <w:kern w:val="0"/>
          <w:sz w:val="32"/>
          <w:szCs w:val="32"/>
          <w:lang w:eastAsia="zh-CN"/>
        </w:rPr>
        <w:t>，建筑垃圾须依法依规处置</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拆除的废旧设备、产生的废料及弃土须按《报告书》要求处置。</w:t>
      </w:r>
    </w:p>
    <w:p w14:paraId="5AD5B7A6">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（二）加强运营期环境管理，认真落实各项污染防治措施。</w:t>
      </w:r>
    </w:p>
    <w:p w14:paraId="63E5A566">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1.严格落实大气污染防治措施</w:t>
      </w:r>
    </w:p>
    <w:p w14:paraId="4EAEA707">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16" w:firstLineChars="200"/>
        <w:textAlignment w:val="auto"/>
        <w:rPr>
          <w:rFonts w:hint="eastAsia" w:ascii="仿宋_GB2312" w:hAnsi="仿宋_GB2312" w:eastAsia="仿宋_GB2312" w:cs="仿宋_GB2312"/>
          <w:color w:val="auto"/>
          <w:spacing w:val="-6"/>
          <w:kern w:val="2"/>
          <w:sz w:val="32"/>
          <w:szCs w:val="32"/>
          <w:lang w:val="en-US" w:eastAsia="zh-CN" w:bidi="ar-SA"/>
        </w:rPr>
      </w:pPr>
      <w:r>
        <w:rPr>
          <w:rFonts w:hint="eastAsia" w:ascii="仿宋_GB2312" w:hAnsi="仿宋_GB2312" w:eastAsia="仿宋_GB2312" w:cs="仿宋_GB2312"/>
          <w:color w:val="auto"/>
          <w:spacing w:val="-6"/>
          <w:kern w:val="2"/>
          <w:sz w:val="32"/>
          <w:szCs w:val="32"/>
          <w:lang w:val="en-US" w:eastAsia="zh-CN" w:bidi="ar-SA"/>
        </w:rPr>
        <w:t>（1）有组织废气</w:t>
      </w:r>
    </w:p>
    <w:p w14:paraId="3B7B1293">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项目一级破碎（颚式破碎机）入料口设置喷淋抑尘装置，颚式破碎机进出料口封闭并设置集气罩收集废气，经1套布袋除尘器处理后经1根15m高排气筒（DA001）排放。二级破碎（圆锥破碎机）、筛分、干选、中间仓废气，圆锥破碎机入料口设置水雾喷淋设施，皮带设置密闭通廊，密闭通廊与一破车间、二破车间密闭直通，同时破碎机、筛分机和磁滑轮进出料口、皮带连接落料处设置集气罩收集废气，中间仓密闭并设置吸风管道，经1套布袋除尘器处理后经1根15m高排气筒（DA002）排放。所排废气须满足《铁矿采选工业污染物排放标准》(GB28661-2012)表6要求。</w:t>
      </w:r>
    </w:p>
    <w:p w14:paraId="796135F4">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16" w:firstLineChars="200"/>
        <w:textAlignment w:val="auto"/>
        <w:rPr>
          <w:rFonts w:hint="eastAsia" w:ascii="仿宋_GB2312" w:hAnsi="仿宋_GB2312" w:eastAsia="仿宋_GB2312" w:cs="仿宋_GB2312"/>
          <w:color w:val="auto"/>
          <w:spacing w:val="-6"/>
          <w:kern w:val="2"/>
          <w:sz w:val="32"/>
          <w:szCs w:val="32"/>
          <w:lang w:val="en-US" w:eastAsia="zh-CN" w:bidi="ar-SA"/>
        </w:rPr>
      </w:pPr>
      <w:r>
        <w:rPr>
          <w:rFonts w:hint="eastAsia" w:ascii="仿宋_GB2312" w:hAnsi="仿宋_GB2312" w:eastAsia="仿宋_GB2312" w:cs="仿宋_GB2312"/>
          <w:color w:val="auto"/>
          <w:spacing w:val="-6"/>
          <w:kern w:val="2"/>
          <w:sz w:val="32"/>
          <w:szCs w:val="32"/>
          <w:lang w:val="en-US" w:eastAsia="zh-CN" w:bidi="ar-SA"/>
        </w:rPr>
        <w:t xml:space="preserve">（2）无组织废气 </w:t>
      </w:r>
    </w:p>
    <w:p w14:paraId="5942C5C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16" w:firstLineChars="200"/>
        <w:textAlignment w:val="auto"/>
        <w:rPr>
          <w:rFonts w:hint="eastAsia" w:ascii="仿宋_GB2312" w:hAnsi="仿宋_GB2312" w:eastAsia="仿宋_GB2312" w:cs="仿宋_GB2312"/>
          <w:color w:val="auto"/>
          <w:spacing w:val="-6"/>
          <w:kern w:val="2"/>
          <w:sz w:val="32"/>
          <w:szCs w:val="32"/>
          <w:lang w:val="en-US" w:eastAsia="zh-CN" w:bidi="ar-SA"/>
        </w:rPr>
      </w:pPr>
      <w:r>
        <w:rPr>
          <w:rFonts w:hint="eastAsia" w:ascii="仿宋_GB2312" w:hAnsi="仿宋_GB2312" w:eastAsia="仿宋_GB2312" w:cs="仿宋_GB2312"/>
          <w:color w:val="auto"/>
          <w:spacing w:val="-6"/>
          <w:kern w:val="2"/>
          <w:sz w:val="32"/>
          <w:szCs w:val="32"/>
          <w:lang w:val="en-US" w:eastAsia="zh-CN" w:bidi="ar-SA"/>
        </w:rPr>
        <w:t>本项目厂区新建一座原料库用于存储原料矿石，原料库为密闭车间，一面进出料（设推拉门），配套喷淋抑尘设施，装卸时采取洒水抑尘措施；项目精粉、中间矿石堆存设置密闭库房，同时配备喷淋抑尘设施，物料装卸时喷淋抑尘；建筑砂石料暂存于砂石料库及时外售；矿石入料设置在密闭原料库内，入料口设喷淋抑尘装置；皮带输送设置密闭皮带通廊，转运端落料点采取喷淋抑尘装置；厂区出入口设置洗车平台。无组织颗粒物排放浓度须满足《铁矿采选工业污染物排放标准》(GB28661-2012)表7无组织排放浓度限值要求，同时满足《秦皇岛市人民政府办公室关于执行钢铁等行业大气污染物排放特别要求的通知》文件要求。</w:t>
      </w:r>
    </w:p>
    <w:p w14:paraId="6DCC1DBC">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auto"/>
        <w:rPr>
          <w:rFonts w:hint="eastAsia" w:ascii="仿宋_GB2312" w:hAnsi="仿宋_GB2312" w:eastAsia="仿宋_GB2312" w:cs="仿宋_GB2312"/>
          <w:b w:val="0"/>
          <w:snapToGrid/>
          <w:spacing w:val="-6"/>
          <w:kern w:val="2"/>
          <w:sz w:val="32"/>
          <w:szCs w:val="32"/>
          <w:lang w:val="en-US" w:eastAsia="zh-CN" w:bidi="ar-SA"/>
        </w:rPr>
      </w:pPr>
      <w:r>
        <w:rPr>
          <w:rFonts w:hint="eastAsia" w:ascii="仿宋_GB2312" w:hAnsi="仿宋_GB2312" w:eastAsia="仿宋_GB2312" w:cs="仿宋_GB2312"/>
          <w:b w:val="0"/>
          <w:snapToGrid/>
          <w:spacing w:val="-6"/>
          <w:kern w:val="2"/>
          <w:sz w:val="32"/>
          <w:szCs w:val="32"/>
          <w:lang w:val="en-US" w:eastAsia="zh-CN" w:bidi="ar-SA"/>
        </w:rPr>
        <w:t>2.严格落实水和土壤污染防治措施</w:t>
      </w:r>
    </w:p>
    <w:p w14:paraId="03788436">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616" w:firstLineChars="200"/>
        <w:textAlignment w:val="auto"/>
        <w:rPr>
          <w:rFonts w:hint="eastAsia" w:ascii="仿宋_GB2312" w:hAnsi="仿宋_GB2312" w:eastAsia="仿宋_GB2312" w:cs="仿宋_GB2312"/>
          <w:b w:val="0"/>
          <w:snapToGrid/>
          <w:spacing w:val="-6"/>
          <w:kern w:val="2"/>
          <w:sz w:val="32"/>
          <w:szCs w:val="32"/>
          <w:lang w:val="en-US" w:eastAsia="zh-CN" w:bidi="ar-SA"/>
        </w:rPr>
      </w:pPr>
      <w:r>
        <w:rPr>
          <w:rFonts w:hint="eastAsia" w:ascii="仿宋_GB2312" w:hAnsi="仿宋_GB2312" w:eastAsia="仿宋_GB2312" w:cs="仿宋_GB2312"/>
          <w:b w:val="0"/>
          <w:snapToGrid/>
          <w:spacing w:val="-6"/>
          <w:kern w:val="2"/>
          <w:sz w:val="32"/>
          <w:szCs w:val="32"/>
          <w:lang w:val="en-US" w:eastAsia="zh-CN" w:bidi="ar-SA"/>
        </w:rPr>
        <w:t>本项目生活污水主要为盥洗废水，就地泼洒抑尘；生产废水主要为选矿废水、洗砂废水、洗车废水、地面冲洗废水。选矿废水、地面冲洗废水及洗砂废水经新建的沉淀池沉淀处理后经原有回水池回用于生产；洗车废水经洗车沉淀池沉淀后循环利用。</w:t>
      </w:r>
    </w:p>
    <w:p w14:paraId="10C95442">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3.严格落实噪声污染防治措施</w:t>
      </w:r>
    </w:p>
    <w:p w14:paraId="612E9249">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严格落实《报告书》中各项降噪措施，严格控制生产过程产生的噪声对周围环境的影响。项目选用低噪声设备、基础减振、厂房隔声等措施，项目实施后厂界噪声须满足《工业企业厂界环境噪声排放标准》（GB12348-20</w:t>
      </w:r>
      <w:r>
        <w:rPr>
          <w:rFonts w:hint="eastAsia" w:ascii="仿宋_GB2312" w:hAnsi="仿宋_GB2312" w:eastAsia="仿宋_GB2312" w:cs="仿宋_GB2312"/>
          <w:color w:val="auto"/>
          <w:spacing w:val="-6"/>
          <w:sz w:val="32"/>
          <w:szCs w:val="32"/>
        </w:rPr>
        <w:t>08）中</w:t>
      </w:r>
      <w:r>
        <w:rPr>
          <w:rFonts w:hint="eastAsia" w:ascii="仿宋_GB2312" w:hAnsi="仿宋_GB2312" w:eastAsia="仿宋_GB2312" w:cs="仿宋_GB2312"/>
          <w:color w:val="auto"/>
          <w:spacing w:val="-6"/>
          <w:sz w:val="32"/>
          <w:szCs w:val="32"/>
          <w:lang w:val="en-US" w:eastAsia="zh-CN"/>
        </w:rPr>
        <w:t>2</w:t>
      </w:r>
      <w:r>
        <w:rPr>
          <w:rFonts w:hint="eastAsia" w:ascii="仿宋_GB2312" w:hAnsi="仿宋_GB2312" w:eastAsia="仿宋_GB2312" w:cs="仿宋_GB2312"/>
          <w:color w:val="auto"/>
          <w:spacing w:val="-6"/>
          <w:sz w:val="32"/>
          <w:szCs w:val="32"/>
        </w:rPr>
        <w:t>类标准。</w:t>
      </w:r>
    </w:p>
    <w:p w14:paraId="70315349">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4.严格落实固体废物污染防治措施</w:t>
      </w:r>
    </w:p>
    <w:p w14:paraId="159AB873">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企业要严格落实固体废物分类处置和综合利用措施，认真落实《报告书》规定的固体废物处理、处置措施。按照“资源化、减量化、无害化”的固废处置原则，实现综合利用。项目产生的</w:t>
      </w:r>
      <w:r>
        <w:rPr>
          <w:rFonts w:hint="eastAsia" w:ascii="仿宋_GB2312" w:hAnsi="仿宋_GB2312" w:eastAsia="仿宋_GB2312" w:cs="仿宋_GB2312"/>
          <w:spacing w:val="-6"/>
          <w:sz w:val="32"/>
          <w:szCs w:val="32"/>
          <w:highlight w:val="none"/>
        </w:rPr>
        <w:t>固体废物主</w:t>
      </w:r>
      <w:r>
        <w:rPr>
          <w:rFonts w:hint="eastAsia" w:ascii="仿宋_GB2312" w:hAnsi="仿宋_GB2312" w:eastAsia="仿宋_GB2312" w:cs="仿宋_GB2312"/>
          <w:spacing w:val="-6"/>
          <w:sz w:val="32"/>
          <w:szCs w:val="32"/>
        </w:rPr>
        <w:t>要为泥饼、洗车沉泥、除尘灰、生活垃圾、废包装袋（聚丙烯酰胺）、废除尘布袋、废钢球、废滤布和废机油、废油桶和员工生活垃圾。</w:t>
      </w:r>
    </w:p>
    <w:p w14:paraId="588BB3DC">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泥饼、洗车沉泥、除尘灰、废包装袋（聚丙烯酰胺）、废除尘布袋、废钢球、废滤</w:t>
      </w:r>
      <w:r>
        <w:rPr>
          <w:rFonts w:hint="eastAsia" w:ascii="仿宋_GB2312" w:hAnsi="仿宋_GB2312" w:eastAsia="仿宋_GB2312" w:cs="仿宋_GB2312"/>
          <w:color w:val="auto"/>
          <w:spacing w:val="-6"/>
          <w:sz w:val="32"/>
          <w:szCs w:val="32"/>
          <w:lang w:eastAsia="zh-CN"/>
        </w:rPr>
        <w:t>布</w:t>
      </w:r>
      <w:r>
        <w:rPr>
          <w:rFonts w:hint="eastAsia" w:ascii="仿宋_GB2312" w:hAnsi="仿宋_GB2312" w:eastAsia="仿宋_GB2312" w:cs="仿宋_GB2312"/>
          <w:color w:val="auto"/>
          <w:spacing w:val="-6"/>
          <w:sz w:val="32"/>
          <w:szCs w:val="32"/>
          <w:lang w:val="en-US" w:eastAsia="zh-CN"/>
        </w:rPr>
        <w:t>为一般工业固体废物</w:t>
      </w:r>
      <w:r>
        <w:rPr>
          <w:rFonts w:hint="eastAsia" w:ascii="仿宋_GB2312" w:hAnsi="仿宋_GB2312" w:eastAsia="仿宋_GB2312" w:cs="仿宋_GB2312"/>
          <w:color w:val="auto"/>
          <w:spacing w:val="-6"/>
          <w:sz w:val="32"/>
          <w:szCs w:val="32"/>
          <w:lang w:eastAsia="zh-CN"/>
        </w:rPr>
        <w:t>。项目处理后的泥饼外售作为制砖原料；洗车平台沉淀池沉泥，定期清理后作为原料回收利用；除尘灰收集后回用于球磨工序；废钢球外售回收单位；</w:t>
      </w:r>
      <w:r>
        <w:rPr>
          <w:rFonts w:hint="eastAsia" w:ascii="仿宋_GB2312" w:hAnsi="仿宋_GB2312" w:eastAsia="仿宋_GB2312" w:cs="仿宋_GB2312"/>
          <w:color w:val="auto"/>
          <w:spacing w:val="-6"/>
          <w:sz w:val="32"/>
          <w:szCs w:val="32"/>
          <w:lang w:val="en-US" w:eastAsia="zh-CN"/>
        </w:rPr>
        <w:t>废滤布、</w:t>
      </w:r>
      <w:r>
        <w:rPr>
          <w:rFonts w:hint="eastAsia" w:ascii="仿宋_GB2312" w:hAnsi="仿宋_GB2312" w:eastAsia="仿宋_GB2312" w:cs="仿宋_GB2312"/>
          <w:color w:val="auto"/>
          <w:spacing w:val="-6"/>
          <w:sz w:val="32"/>
          <w:szCs w:val="32"/>
          <w:lang w:eastAsia="zh-CN"/>
        </w:rPr>
        <w:t>废包装袋和废除尘布袋由厂家回收。</w:t>
      </w:r>
      <w:r>
        <w:rPr>
          <w:rFonts w:hint="eastAsia" w:ascii="仿宋_GB2312" w:hAnsi="仿宋_GB2312" w:eastAsia="仿宋_GB2312" w:cs="仿宋_GB2312"/>
          <w:spacing w:val="-6"/>
          <w:sz w:val="32"/>
          <w:szCs w:val="32"/>
          <w:highlight w:val="none"/>
          <w:lang w:eastAsia="zh-CN"/>
        </w:rPr>
        <w:t>废机油、废油桶为危险</w:t>
      </w:r>
      <w:r>
        <w:rPr>
          <w:rFonts w:hint="eastAsia" w:ascii="仿宋_GB2312" w:hAnsi="仿宋_GB2312" w:eastAsia="仿宋_GB2312" w:cs="仿宋_GB2312"/>
          <w:spacing w:val="-6"/>
          <w:sz w:val="32"/>
          <w:szCs w:val="32"/>
          <w:lang w:eastAsia="zh-CN"/>
        </w:rPr>
        <w:t>废物，在厂区危废暂存间暂存，定期交有资质单位处理；</w:t>
      </w:r>
      <w:r>
        <w:rPr>
          <w:rFonts w:hint="eastAsia" w:ascii="仿宋_GB2312" w:hAnsi="仿宋_GB2312" w:eastAsia="仿宋_GB2312" w:cs="仿宋_GB2312"/>
          <w:spacing w:val="-6"/>
          <w:sz w:val="32"/>
          <w:szCs w:val="32"/>
        </w:rPr>
        <w:t>生活垃圾</w:t>
      </w:r>
      <w:r>
        <w:rPr>
          <w:rFonts w:hint="eastAsia" w:ascii="仿宋_GB2312" w:hAnsi="仿宋_GB2312" w:eastAsia="仿宋_GB2312" w:cs="仿宋_GB2312"/>
          <w:spacing w:val="-6"/>
          <w:sz w:val="32"/>
          <w:szCs w:val="32"/>
          <w:lang w:eastAsia="zh-CN"/>
        </w:rPr>
        <w:t>收集后定期交由环卫部门处置。</w:t>
      </w:r>
    </w:p>
    <w:p w14:paraId="329235E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项目产生的危险废物及危废间建设须满足《危险废物贮存污染控制标准》（GB18597-2023）相关要求。</w:t>
      </w:r>
    </w:p>
    <w:p w14:paraId="25769E96">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lang w:val="en-US" w:eastAsia="zh-CN"/>
        </w:rPr>
        <w:t>5.</w:t>
      </w:r>
      <w:bookmarkStart w:id="0" w:name="_GoBack"/>
      <w:bookmarkEnd w:id="0"/>
      <w:r>
        <w:rPr>
          <w:rFonts w:hint="eastAsia" w:ascii="仿宋_GB2312" w:hAnsi="仿宋_GB2312" w:eastAsia="仿宋_GB2312" w:cs="仿宋_GB2312"/>
          <w:spacing w:val="-6"/>
          <w:sz w:val="32"/>
          <w:szCs w:val="32"/>
        </w:rPr>
        <w:t>认真</w:t>
      </w:r>
      <w:r>
        <w:rPr>
          <w:rFonts w:hint="eastAsia" w:ascii="仿宋_GB2312" w:hAnsi="仿宋_GB2312" w:eastAsia="仿宋_GB2312" w:cs="仿宋_GB2312"/>
          <w:sz w:val="32"/>
          <w:szCs w:val="32"/>
        </w:rPr>
        <w:t>落实《报告书》中其他环境管理要求。</w:t>
      </w:r>
    </w:p>
    <w:p w14:paraId="546D9CC7">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eastAsia="zh-CN"/>
        </w:rPr>
        <w:t>三、</w:t>
      </w:r>
      <w:r>
        <w:rPr>
          <w:rFonts w:hint="eastAsia" w:ascii="仿宋_GB2312" w:hAnsi="仿宋_GB2312" w:eastAsia="仿宋_GB2312" w:cs="仿宋_GB2312"/>
          <w:spacing w:val="-6"/>
          <w:sz w:val="32"/>
          <w:szCs w:val="32"/>
        </w:rPr>
        <w:t>强化环境风险防范和应急措施。制订完善的环境管理、风险管理措施，设施配备齐全，加强相关人员培训</w:t>
      </w:r>
      <w:r>
        <w:rPr>
          <w:rFonts w:hint="eastAsia" w:ascii="仿宋_GB2312" w:hAnsi="仿宋_GB2312" w:eastAsia="仿宋_GB2312" w:cs="仿宋_GB2312"/>
          <w:color w:val="000000"/>
          <w:kern w:val="0"/>
          <w:sz w:val="32"/>
          <w:szCs w:val="32"/>
        </w:rPr>
        <w:t>。加强风险源管控，严格落实《报告书》中环境风险防范措施，编写突发环境事件应急预案并到当地政府相关部门备案，与当地政府及相关部门应急预案做好衔接，定期进行应急培训和</w:t>
      </w:r>
      <w:r>
        <w:rPr>
          <w:rFonts w:hint="eastAsia" w:ascii="仿宋_GB2312" w:hAnsi="仿宋_GB2312" w:eastAsia="仿宋_GB2312" w:cs="仿宋_GB2312"/>
          <w:spacing w:val="-6"/>
          <w:sz w:val="32"/>
          <w:szCs w:val="32"/>
        </w:rPr>
        <w:t>演练，有效防范和应对环境风险。</w:t>
      </w:r>
    </w:p>
    <w:p w14:paraId="6A4774F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四、</w:t>
      </w:r>
      <w:r>
        <w:rPr>
          <w:rFonts w:hint="eastAsia" w:ascii="仿宋_GB2312" w:hAnsi="仿宋_GB2312" w:eastAsia="仿宋_GB2312" w:cs="仿宋_GB2312"/>
          <w:color w:val="000000"/>
          <w:kern w:val="0"/>
          <w:sz w:val="32"/>
          <w:szCs w:val="32"/>
        </w:rPr>
        <w:t xml:space="preserve">认真落实《报告书》中规定的污染防治措施及清洁生产措施，项目实施后，企业须按照国家排污许可有关管理规定及时办理排污许可证。 </w:t>
      </w:r>
    </w:p>
    <w:p w14:paraId="1DF7688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color w:val="000000"/>
          <w:kern w:val="0"/>
          <w:sz w:val="32"/>
          <w:szCs w:val="32"/>
        </w:rPr>
        <w:t>五、</w:t>
      </w:r>
      <w:r>
        <w:rPr>
          <w:rFonts w:hint="eastAsia" w:ascii="仿宋_GB2312" w:hAnsi="仿宋_GB2312" w:eastAsia="仿宋_GB2312" w:cs="仿宋_GB2312"/>
          <w:spacing w:val="-6"/>
          <w:sz w:val="32"/>
          <w:szCs w:val="32"/>
        </w:rPr>
        <w:t>在项目运营过程中，应建立畅通的公众参与平台，及时解决公众关注的环境问题，满足公众合理的环境诉求。定期发布企业环境信息，主动接受社会监督。</w:t>
      </w:r>
    </w:p>
    <w:p w14:paraId="1892CA67">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六、</w:t>
      </w:r>
      <w:r>
        <w:rPr>
          <w:rFonts w:hint="eastAsia" w:ascii="仿宋_GB2312" w:hAnsi="仿宋_GB2312" w:eastAsia="仿宋_GB2312" w:cs="仿宋_GB2312"/>
          <w:color w:val="000000"/>
          <w:sz w:val="32"/>
          <w:szCs w:val="32"/>
          <w:shd w:val="clear" w:color="auto" w:fill="FFFFFF"/>
        </w:rPr>
        <w:t>进一步强化污染源管理工作。按照国家和地方有关规定，建设规范的污染物排放口，设立标志牌</w:t>
      </w:r>
      <w:r>
        <w:rPr>
          <w:rFonts w:hint="eastAsia" w:ascii="仿宋_GB2312" w:hAnsi="仿宋_GB2312" w:eastAsia="仿宋_GB2312" w:cs="仿宋_GB2312"/>
          <w:spacing w:val="-6"/>
          <w:sz w:val="32"/>
          <w:szCs w:val="32"/>
        </w:rPr>
        <w:t>。按照</w:t>
      </w:r>
      <w:r>
        <w:rPr>
          <w:rFonts w:hint="eastAsia" w:ascii="仿宋_GB2312" w:hAnsi="仿宋_GB2312" w:eastAsia="仿宋_GB2312" w:cs="仿宋_GB2312"/>
          <w:color w:val="000000"/>
          <w:sz w:val="32"/>
          <w:szCs w:val="32"/>
          <w:shd w:val="clear" w:color="auto" w:fill="FFFFFF"/>
        </w:rPr>
        <w:t>《报告书》要求安装超标报警设施和分表计电设备等，对《报告书》要求的监测内容定期开展监测，企业应按照环境监测管理规定和技术规范的要求，设计、建设、维护永久性采样口、采样测试平台。</w:t>
      </w:r>
    </w:p>
    <w:p w14:paraId="5B87B764">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七、本项目建设必须严格执行配套建设的环境保护设施与主体工程同时设计、同时施工、同时投产使用的环境保护“三同时”制度。项目竣工后，按规定开展竣工环境保护验收。验收合格后，项目方可正式投入生产，</w:t>
      </w:r>
      <w:r>
        <w:rPr>
          <w:rFonts w:hint="eastAsia" w:ascii="仿宋_GB2312" w:hAnsi="仿宋_GB2312" w:eastAsia="仿宋_GB2312" w:cs="仿宋_GB2312"/>
          <w:sz w:val="32"/>
          <w:szCs w:val="32"/>
        </w:rPr>
        <w:t>未经验收或者验收不合格的，不得投入生产或者使用</w:t>
      </w:r>
      <w:r>
        <w:rPr>
          <w:rFonts w:hint="eastAsia" w:ascii="仿宋_GB2312" w:hAnsi="仿宋_GB2312" w:eastAsia="仿宋_GB2312" w:cs="仿宋_GB2312"/>
          <w:spacing w:val="-6"/>
          <w:sz w:val="32"/>
          <w:szCs w:val="32"/>
        </w:rPr>
        <w:t>。本项目环境影响评价文件经批准后，如设计和施工变化造成工程性质、规模、工艺、防治污染的措施发生重大变动的，应当在调整前重新报批本项目环境影响评价文件。</w:t>
      </w:r>
      <w:r>
        <w:rPr>
          <w:rFonts w:hint="eastAsia" w:ascii="仿宋_GB2312" w:hAnsi="仿宋_GB2312" w:eastAsia="仿宋_GB2312" w:cs="仿宋_GB2312"/>
          <w:sz w:val="32"/>
          <w:szCs w:val="32"/>
        </w:rPr>
        <w:t>项目自批复之日起五年后方决定开工建设的，须将环评文件报我局重新审核。</w:t>
      </w:r>
    </w:p>
    <w:p w14:paraId="22E93872">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八、你单位在接到本批复后的10个工作日内，须将环评报告书及其批复文件送达秦皇岛市生态环境局</w:t>
      </w:r>
      <w:r>
        <w:rPr>
          <w:rFonts w:hint="eastAsia" w:ascii="仿宋_GB2312" w:hAnsi="仿宋_GB2312" w:eastAsia="仿宋_GB2312" w:cs="仿宋_GB2312"/>
          <w:spacing w:val="-6"/>
          <w:sz w:val="32"/>
          <w:szCs w:val="32"/>
          <w:lang w:eastAsia="zh-CN"/>
        </w:rPr>
        <w:t>青龙满族自治县</w:t>
      </w:r>
      <w:r>
        <w:rPr>
          <w:rFonts w:hint="eastAsia" w:ascii="仿宋_GB2312" w:hAnsi="仿宋_GB2312" w:eastAsia="仿宋_GB2312" w:cs="仿宋_GB2312"/>
          <w:spacing w:val="-6"/>
          <w:sz w:val="32"/>
          <w:szCs w:val="32"/>
        </w:rPr>
        <w:t>分局等相关部门备案，日常监督管理由秦皇岛市生态环境局</w:t>
      </w:r>
      <w:r>
        <w:rPr>
          <w:rFonts w:hint="eastAsia" w:ascii="仿宋_GB2312" w:hAnsi="仿宋_GB2312" w:eastAsia="仿宋_GB2312" w:cs="仿宋_GB2312"/>
          <w:spacing w:val="-6"/>
          <w:sz w:val="32"/>
          <w:szCs w:val="32"/>
          <w:lang w:eastAsia="zh-CN"/>
        </w:rPr>
        <w:t>青龙满族自治县</w:t>
      </w:r>
      <w:r>
        <w:rPr>
          <w:rFonts w:hint="eastAsia" w:ascii="仿宋_GB2312" w:hAnsi="仿宋_GB2312" w:eastAsia="仿宋_GB2312" w:cs="仿宋_GB2312"/>
          <w:spacing w:val="-6"/>
          <w:sz w:val="32"/>
          <w:szCs w:val="32"/>
        </w:rPr>
        <w:t>分局负责。建设单位须定期向秦皇岛市生态环境局</w:t>
      </w:r>
      <w:r>
        <w:rPr>
          <w:rFonts w:hint="eastAsia" w:ascii="仿宋_GB2312" w:hAnsi="仿宋_GB2312" w:eastAsia="仿宋_GB2312" w:cs="仿宋_GB2312"/>
          <w:spacing w:val="-6"/>
          <w:sz w:val="32"/>
          <w:szCs w:val="32"/>
          <w:lang w:eastAsia="zh-CN"/>
        </w:rPr>
        <w:t>青龙满族自治县</w:t>
      </w:r>
      <w:r>
        <w:rPr>
          <w:rFonts w:hint="eastAsia" w:ascii="仿宋_GB2312" w:hAnsi="仿宋_GB2312" w:eastAsia="仿宋_GB2312" w:cs="仿宋_GB2312"/>
          <w:spacing w:val="-6"/>
          <w:sz w:val="32"/>
          <w:szCs w:val="32"/>
        </w:rPr>
        <w:t xml:space="preserve">分局报告“三同时”完成情况。并按规定接受各级生态环境行政主管部门的日常监督检查。 </w:t>
      </w:r>
    </w:p>
    <w:p w14:paraId="77ADF635">
      <w:pPr>
        <w:keepNext w:val="0"/>
        <w:keepLines w:val="0"/>
        <w:pageBreakBefore w:val="0"/>
        <w:widowControl w:val="0"/>
        <w:kinsoku/>
        <w:wordWrap/>
        <w:overflowPunct/>
        <w:topLinePunct w:val="0"/>
        <w:autoSpaceDE/>
        <w:autoSpaceDN/>
        <w:bidi w:val="0"/>
        <w:adjustRightInd w:val="0"/>
        <w:snapToGrid w:val="0"/>
        <w:spacing w:line="560" w:lineRule="exact"/>
        <w:ind w:right="616"/>
        <w:jc w:val="right"/>
        <w:textAlignment w:val="auto"/>
        <w:rPr>
          <w:rFonts w:hint="eastAsia" w:ascii="仿宋_GB2312" w:hAnsi="仿宋_GB2312" w:eastAsia="仿宋_GB2312" w:cs="仿宋_GB2312"/>
          <w:spacing w:val="-6"/>
          <w:sz w:val="32"/>
          <w:szCs w:val="32"/>
        </w:rPr>
      </w:pPr>
    </w:p>
    <w:p w14:paraId="03D372DD">
      <w:pPr>
        <w:keepNext w:val="0"/>
        <w:keepLines w:val="0"/>
        <w:pageBreakBefore w:val="0"/>
        <w:widowControl w:val="0"/>
        <w:kinsoku/>
        <w:wordWrap/>
        <w:overflowPunct/>
        <w:topLinePunct w:val="0"/>
        <w:autoSpaceDE/>
        <w:autoSpaceDN/>
        <w:bidi w:val="0"/>
        <w:adjustRightInd w:val="0"/>
        <w:snapToGrid w:val="0"/>
        <w:spacing w:line="560" w:lineRule="exact"/>
        <w:ind w:right="616"/>
        <w:jc w:val="righ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 xml:space="preserve">          </w:t>
      </w:r>
    </w:p>
    <w:p w14:paraId="4DA8BC5B">
      <w:pPr>
        <w:keepNext w:val="0"/>
        <w:keepLines w:val="0"/>
        <w:pageBreakBefore w:val="0"/>
        <w:widowControl w:val="0"/>
        <w:kinsoku/>
        <w:wordWrap w:val="0"/>
        <w:overflowPunct/>
        <w:topLinePunct w:val="0"/>
        <w:autoSpaceDE/>
        <w:autoSpaceDN/>
        <w:bidi w:val="0"/>
        <w:adjustRightInd w:val="0"/>
        <w:snapToGrid w:val="0"/>
        <w:spacing w:line="560" w:lineRule="exact"/>
        <w:ind w:right="616"/>
        <w:jc w:val="right"/>
        <w:textAlignment w:val="auto"/>
        <w:rPr>
          <w:rFonts w:hint="default"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rPr>
        <w:t xml:space="preserve">  秦皇岛市行政审批局</w:t>
      </w:r>
      <w:r>
        <w:rPr>
          <w:rFonts w:hint="eastAsia" w:ascii="仿宋_GB2312" w:hAnsi="仿宋_GB2312" w:eastAsia="仿宋_GB2312" w:cs="仿宋_GB2312"/>
          <w:spacing w:val="-6"/>
          <w:sz w:val="32"/>
          <w:szCs w:val="32"/>
          <w:lang w:val="en-US" w:eastAsia="zh-CN"/>
        </w:rPr>
        <w:t xml:space="preserve">  </w:t>
      </w:r>
    </w:p>
    <w:p w14:paraId="280A8788">
      <w:pPr>
        <w:keepNext w:val="0"/>
        <w:keepLines w:val="0"/>
        <w:pageBreakBefore w:val="0"/>
        <w:widowControl w:val="0"/>
        <w:kinsoku/>
        <w:wordWrap w:val="0"/>
        <w:overflowPunct/>
        <w:topLinePunct w:val="0"/>
        <w:autoSpaceDE/>
        <w:autoSpaceDN/>
        <w:bidi w:val="0"/>
        <w:adjustRightInd w:val="0"/>
        <w:snapToGrid w:val="0"/>
        <w:spacing w:line="560" w:lineRule="exact"/>
        <w:ind w:right="616"/>
        <w:jc w:val="right"/>
        <w:textAlignment w:val="auto"/>
        <w:rPr>
          <w:rFonts w:hint="default"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rPr>
        <w:t xml:space="preserve">  </w:t>
      </w:r>
      <w:r>
        <w:rPr>
          <w:rFonts w:hint="default" w:ascii="仿宋_GB2312" w:hAnsi="仿宋_GB2312" w:eastAsia="仿宋_GB2312" w:cs="仿宋_GB2312"/>
          <w:spacing w:val="-6"/>
          <w:sz w:val="32"/>
          <w:szCs w:val="32"/>
          <w:lang w:val="en-US"/>
        </w:rPr>
        <w:t>2026</w:t>
      </w:r>
      <w:r>
        <w:rPr>
          <w:rFonts w:hint="eastAsia" w:ascii="仿宋_GB2312" w:hAnsi="仿宋_GB2312" w:eastAsia="仿宋_GB2312" w:cs="仿宋_GB2312"/>
          <w:spacing w:val="-6"/>
          <w:sz w:val="32"/>
          <w:szCs w:val="32"/>
        </w:rPr>
        <w:t>年</w:t>
      </w:r>
      <w:r>
        <w:rPr>
          <w:rFonts w:hint="default" w:ascii="仿宋_GB2312" w:hAnsi="仿宋_GB2312" w:eastAsia="仿宋_GB2312" w:cs="仿宋_GB2312"/>
          <w:spacing w:val="-6"/>
          <w:sz w:val="32"/>
          <w:szCs w:val="32"/>
          <w:lang w:val="en-US" w:eastAsia="zh-CN"/>
        </w:rPr>
        <w:t>6</w:t>
      </w:r>
      <w:r>
        <w:rPr>
          <w:rFonts w:hint="eastAsia" w:ascii="仿宋_GB2312" w:hAnsi="仿宋_GB2312" w:eastAsia="仿宋_GB2312" w:cs="仿宋_GB2312"/>
          <w:spacing w:val="-6"/>
          <w:sz w:val="32"/>
          <w:szCs w:val="32"/>
        </w:rPr>
        <w:t>月</w:t>
      </w:r>
      <w:r>
        <w:rPr>
          <w:rFonts w:hint="eastAsia" w:ascii="仿宋_GB2312" w:hAnsi="仿宋_GB2312" w:eastAsia="仿宋_GB2312" w:cs="仿宋_GB2312"/>
          <w:spacing w:val="-6"/>
          <w:sz w:val="32"/>
          <w:szCs w:val="32"/>
          <w:lang w:val="en-US" w:eastAsia="zh-CN"/>
        </w:rPr>
        <w:t>3</w:t>
      </w:r>
      <w:r>
        <w:rPr>
          <w:rFonts w:hint="eastAsia" w:ascii="仿宋_GB2312" w:hAnsi="仿宋_GB2312" w:eastAsia="仿宋_GB2312" w:cs="仿宋_GB2312"/>
          <w:spacing w:val="-6"/>
          <w:sz w:val="32"/>
          <w:szCs w:val="32"/>
        </w:rPr>
        <w:t>日</w:t>
      </w:r>
      <w:r>
        <w:rPr>
          <w:rFonts w:hint="eastAsia" w:ascii="仿宋_GB2312" w:hAnsi="仿宋_GB2312" w:eastAsia="仿宋_GB2312" w:cs="仿宋_GB2312"/>
          <w:spacing w:val="-6"/>
          <w:sz w:val="32"/>
          <w:szCs w:val="32"/>
          <w:lang w:val="en-US" w:eastAsia="zh-CN"/>
        </w:rPr>
        <w:t xml:space="preserve">   </w:t>
      </w:r>
    </w:p>
    <w:p w14:paraId="06B9B23D">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p>
    <w:p w14:paraId="351549AF">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p>
    <w:sectPr>
      <w:footerReference r:id="rId5" w:type="first"/>
      <w:footerReference r:id="rId3" w:type="default"/>
      <w:footerReference r:id="rId4" w:type="even"/>
      <w:pgSz w:w="11906" w:h="16838"/>
      <w:pgMar w:top="2098"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8"/>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77E1C">
    <w:pPr>
      <w:pStyle w:val="13"/>
      <w:framePr w:wrap="around" w:vAnchor="text" w:hAnchor="margin" w:xAlign="outside" w:y="1"/>
      <w:pBdr>
        <w:top w:val="none" w:color="auto" w:sz="0" w:space="0"/>
        <w:left w:val="none" w:color="auto" w:sz="0" w:space="0"/>
        <w:bottom w:val="none" w:color="auto" w:sz="0" w:space="0"/>
        <w:right w:val="none" w:color="auto" w:sz="0" w:space="0"/>
      </w:pBdr>
      <w:rPr>
        <w:rFonts w:hint="eastAsia" w:ascii="宋体"/>
        <w:sz w:val="28"/>
        <w:szCs w:val="28"/>
      </w:rPr>
    </w:pPr>
    <w:r>
      <w:rPr>
        <w:rStyle w:val="17"/>
        <w:rFonts w:hint="eastAsia" w:ascii="宋体"/>
        <w:sz w:val="28"/>
        <w:szCs w:val="28"/>
      </w:rPr>
      <w:fldChar w:fldCharType="begin"/>
    </w:r>
    <w:r>
      <w:rPr>
        <w:rStyle w:val="17"/>
        <w:rFonts w:hint="eastAsia" w:ascii="宋体"/>
        <w:sz w:val="28"/>
        <w:szCs w:val="28"/>
      </w:rPr>
      <w:instrText xml:space="preserve">Page</w:instrText>
    </w:r>
    <w:r>
      <w:rPr>
        <w:rStyle w:val="17"/>
        <w:rFonts w:hint="eastAsia" w:ascii="宋体"/>
        <w:sz w:val="28"/>
        <w:szCs w:val="28"/>
      </w:rPr>
      <w:fldChar w:fldCharType="separate"/>
    </w:r>
    <w:r>
      <w:rPr>
        <w:rStyle w:val="17"/>
        <w:rFonts w:hint="eastAsia" w:ascii="宋体"/>
        <w:sz w:val="28"/>
        <w:szCs w:val="28"/>
      </w:rPr>
      <w:t>- 1 -</w:t>
    </w:r>
    <w:r>
      <w:rPr>
        <w:rStyle w:val="17"/>
        <w:rFonts w:hint="eastAsia" w:ascii="宋体"/>
        <w:sz w:val="28"/>
        <w:szCs w:val="28"/>
      </w:rPr>
      <w:fldChar w:fldCharType="end"/>
    </w:r>
  </w:p>
  <w:p w14:paraId="625FDA95">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B1061">
    <w:pPr>
      <w:pStyle w:val="13"/>
      <w:framePr w:wrap="around" w:vAnchor="text" w:hAnchor="margin" w:xAlign="outside" w:y="1"/>
      <w:pBdr>
        <w:top w:val="none" w:color="auto" w:sz="0" w:space="0"/>
        <w:left w:val="none" w:color="auto" w:sz="0" w:space="0"/>
        <w:bottom w:val="none" w:color="auto" w:sz="0" w:space="0"/>
        <w:right w:val="none" w:color="auto" w:sz="0" w:space="0"/>
      </w:pBdr>
    </w:pPr>
    <w:r>
      <w:rPr>
        <w:rStyle w:val="17"/>
      </w:rPr>
      <w:fldChar w:fldCharType="begin"/>
    </w:r>
    <w:r>
      <w:rPr>
        <w:rStyle w:val="17"/>
      </w:rPr>
      <w:instrText xml:space="preserve">Page</w:instrText>
    </w:r>
    <w:r>
      <w:rPr>
        <w:rStyle w:val="17"/>
      </w:rPr>
      <w:fldChar w:fldCharType="separate"/>
    </w:r>
    <w:r>
      <w:rPr>
        <w:rStyle w:val="17"/>
      </w:rPr>
      <w:t>- 1 -</w:t>
    </w:r>
    <w:r>
      <w:rPr>
        <w:rStyle w:val="17"/>
      </w:rPr>
      <w:fldChar w:fldCharType="end"/>
    </w:r>
  </w:p>
  <w:p w14:paraId="3E416582">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ED1D2">
    <w:pPr>
      <w:pStyle w:val="13"/>
      <w:framePr w:wrap="around" w:vAnchor="text" w:hAnchor="margin" w:xAlign="outside" w:y="1"/>
      <w:pBdr>
        <w:top w:val="none" w:color="auto" w:sz="0" w:space="0"/>
        <w:left w:val="none" w:color="auto" w:sz="0" w:space="0"/>
        <w:bottom w:val="none" w:color="auto" w:sz="0" w:space="0"/>
        <w:right w:val="none" w:color="auto" w:sz="0" w:space="0"/>
      </w:pBdr>
    </w:pPr>
    <w:r>
      <w:rPr>
        <w:rStyle w:val="17"/>
      </w:rPr>
      <w:fldChar w:fldCharType="begin"/>
    </w:r>
    <w:r>
      <w:rPr>
        <w:rStyle w:val="17"/>
      </w:rPr>
      <w:instrText xml:space="preserve">Page</w:instrText>
    </w:r>
    <w:r>
      <w:rPr>
        <w:rStyle w:val="17"/>
      </w:rPr>
      <w:fldChar w:fldCharType="separate"/>
    </w:r>
    <w:r>
      <w:rPr>
        <w:rStyle w:val="17"/>
      </w:rPr>
      <w:t>- 1 -</w:t>
    </w:r>
    <w:r>
      <w:rPr>
        <w:rStyle w:val="17"/>
      </w:rPr>
      <w:fldChar w:fldCharType="end"/>
    </w:r>
  </w:p>
  <w:p w14:paraId="2DF22032">
    <w:pPr>
      <w:pStyle w:val="1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ODk3NGVhNzYwN2Y0NDZhZmM5MWZhYzkwNDZjYmJjNmUifQ=="/>
  </w:docVars>
  <w:rsids>
    <w:rsidRoot w:val="00000000"/>
    <w:rsid w:val="00215AA4"/>
    <w:rsid w:val="00226ABD"/>
    <w:rsid w:val="00ED6AA2"/>
    <w:rsid w:val="01C55106"/>
    <w:rsid w:val="032808FD"/>
    <w:rsid w:val="04356446"/>
    <w:rsid w:val="04682928"/>
    <w:rsid w:val="058820D2"/>
    <w:rsid w:val="084163BB"/>
    <w:rsid w:val="08BA69F7"/>
    <w:rsid w:val="095F575E"/>
    <w:rsid w:val="0BDC7FEA"/>
    <w:rsid w:val="10377F8B"/>
    <w:rsid w:val="11AD564A"/>
    <w:rsid w:val="175B54FB"/>
    <w:rsid w:val="177659D9"/>
    <w:rsid w:val="1796641A"/>
    <w:rsid w:val="189A3A29"/>
    <w:rsid w:val="1B171B01"/>
    <w:rsid w:val="1B271211"/>
    <w:rsid w:val="1B5540EF"/>
    <w:rsid w:val="1E4F0561"/>
    <w:rsid w:val="1F4700FD"/>
    <w:rsid w:val="1F9C325D"/>
    <w:rsid w:val="209054D9"/>
    <w:rsid w:val="23A176B3"/>
    <w:rsid w:val="285F2591"/>
    <w:rsid w:val="296E16E8"/>
    <w:rsid w:val="29DA269C"/>
    <w:rsid w:val="2A694C28"/>
    <w:rsid w:val="2BFEDE00"/>
    <w:rsid w:val="2F561DEB"/>
    <w:rsid w:val="2FD01411"/>
    <w:rsid w:val="30306FC4"/>
    <w:rsid w:val="31215055"/>
    <w:rsid w:val="316867E0"/>
    <w:rsid w:val="323B7BA0"/>
    <w:rsid w:val="32C0366C"/>
    <w:rsid w:val="336342BE"/>
    <w:rsid w:val="38C64BE7"/>
    <w:rsid w:val="3DC93F58"/>
    <w:rsid w:val="3E960D8B"/>
    <w:rsid w:val="42E878C6"/>
    <w:rsid w:val="488570E6"/>
    <w:rsid w:val="48F61F9F"/>
    <w:rsid w:val="49105066"/>
    <w:rsid w:val="4AEA2C4F"/>
    <w:rsid w:val="4B835D1F"/>
    <w:rsid w:val="4D720B9D"/>
    <w:rsid w:val="4E1B7347"/>
    <w:rsid w:val="4E21112E"/>
    <w:rsid w:val="4F4C35D3"/>
    <w:rsid w:val="4F6A776F"/>
    <w:rsid w:val="4F711478"/>
    <w:rsid w:val="51B20AFD"/>
    <w:rsid w:val="52D443C4"/>
    <w:rsid w:val="53177C0E"/>
    <w:rsid w:val="53AC7DF8"/>
    <w:rsid w:val="54B074DB"/>
    <w:rsid w:val="58984BC1"/>
    <w:rsid w:val="5B3A2716"/>
    <w:rsid w:val="5B7F45A2"/>
    <w:rsid w:val="5BB74E52"/>
    <w:rsid w:val="5CFE58BF"/>
    <w:rsid w:val="5D687D65"/>
    <w:rsid w:val="5DF73BEC"/>
    <w:rsid w:val="604030A0"/>
    <w:rsid w:val="60762529"/>
    <w:rsid w:val="611761E6"/>
    <w:rsid w:val="611E2795"/>
    <w:rsid w:val="61CA741B"/>
    <w:rsid w:val="620D5E36"/>
    <w:rsid w:val="64F0304B"/>
    <w:rsid w:val="65585883"/>
    <w:rsid w:val="655FF1D9"/>
    <w:rsid w:val="65BC7F16"/>
    <w:rsid w:val="65C10ACA"/>
    <w:rsid w:val="6A6F3730"/>
    <w:rsid w:val="6A702141"/>
    <w:rsid w:val="6BB92001"/>
    <w:rsid w:val="6D1D167C"/>
    <w:rsid w:val="6E87317F"/>
    <w:rsid w:val="6F3F2FDE"/>
    <w:rsid w:val="6FFC1423"/>
    <w:rsid w:val="727F15D8"/>
    <w:rsid w:val="72DF3E4C"/>
    <w:rsid w:val="73795FD2"/>
    <w:rsid w:val="767766A3"/>
    <w:rsid w:val="779242E9"/>
    <w:rsid w:val="79893ADD"/>
    <w:rsid w:val="79937DF0"/>
    <w:rsid w:val="7ADA0A3D"/>
    <w:rsid w:val="7BFF25B3"/>
    <w:rsid w:val="7E0F383A"/>
    <w:rsid w:val="7E8300E9"/>
    <w:rsid w:val="7F7F2110"/>
    <w:rsid w:val="B9DFC9F9"/>
    <w:rsid w:val="C9771BD5"/>
    <w:rsid w:val="D9BA5F36"/>
    <w:rsid w:val="E3CCEB51"/>
    <w:rsid w:val="EFBF1B1C"/>
    <w:rsid w:val="EFE93C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5">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6">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7">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6">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after="120"/>
      <w:ind w:firstLine="100" w:firstLineChars="100"/>
    </w:pPr>
    <w:rPr>
      <w:sz w:val="21"/>
      <w:szCs w:val="24"/>
    </w:rPr>
  </w:style>
  <w:style w:type="paragraph" w:styleId="3">
    <w:name w:val="Body Text"/>
    <w:basedOn w:val="1"/>
    <w:next w:val="4"/>
    <w:qFormat/>
    <w:uiPriority w:val="0"/>
    <w:pPr>
      <w:spacing w:line="240" w:lineRule="atLeast"/>
    </w:pPr>
    <w:rPr>
      <w:sz w:val="28"/>
    </w:rPr>
  </w:style>
  <w:style w:type="paragraph" w:customStyle="1" w:styleId="4">
    <w:name w:val="默认段落"/>
    <w:qFormat/>
    <w:uiPriority w:val="0"/>
    <w:pPr>
      <w:widowControl w:val="0"/>
      <w:jc w:val="both"/>
    </w:pPr>
    <w:rPr>
      <w:rFonts w:ascii="Calibri" w:hAnsi="Calibri" w:eastAsia="宋体" w:cs="Times New Roman"/>
      <w:kern w:val="2"/>
      <w:sz w:val="21"/>
      <w:szCs w:val="20"/>
      <w:lang w:val="en-US" w:eastAsia="zh-CN" w:bidi="ar-SA"/>
    </w:rPr>
  </w:style>
  <w:style w:type="paragraph" w:styleId="8">
    <w:name w:val="Normal Indent"/>
    <w:basedOn w:val="1"/>
    <w:next w:val="3"/>
    <w:qFormat/>
    <w:uiPriority w:val="0"/>
    <w:pPr>
      <w:spacing w:line="480" w:lineRule="exact"/>
      <w:ind w:firstLine="200" w:firstLineChars="200"/>
    </w:pPr>
  </w:style>
  <w:style w:type="paragraph" w:styleId="9">
    <w:name w:val="annotation text"/>
    <w:basedOn w:val="1"/>
    <w:qFormat/>
    <w:uiPriority w:val="0"/>
    <w:pPr>
      <w:jc w:val="left"/>
    </w:pPr>
  </w:style>
  <w:style w:type="paragraph" w:styleId="10">
    <w:name w:val="Plain Text"/>
    <w:basedOn w:val="1"/>
    <w:next w:val="11"/>
    <w:qFormat/>
    <w:uiPriority w:val="0"/>
  </w:style>
  <w:style w:type="paragraph" w:customStyle="1" w:styleId="11">
    <w:name w:val="表内文字"/>
    <w:basedOn w:val="1"/>
    <w:next w:val="12"/>
    <w:qFormat/>
    <w:uiPriority w:val="0"/>
    <w:pPr>
      <w:widowControl w:val="0"/>
      <w:suppressAutoHyphens/>
      <w:wordWrap w:val="0"/>
      <w:spacing w:line="360" w:lineRule="atLeast"/>
      <w:jc w:val="center"/>
    </w:pPr>
    <w:rPr>
      <w:rFonts w:ascii="Calibri" w:hAnsi="Calibri"/>
      <w:spacing w:val="18"/>
      <w:kern w:val="0"/>
      <w:sz w:val="32"/>
      <w:szCs w:val="20"/>
    </w:rPr>
  </w:style>
  <w:style w:type="paragraph" w:customStyle="1" w:styleId="12">
    <w:name w:val="+正文"/>
    <w:basedOn w:val="1"/>
    <w:qFormat/>
    <w:uiPriority w:val="0"/>
    <w:pPr>
      <w:spacing w:line="360" w:lineRule="auto"/>
      <w:ind w:firstLine="200" w:firstLineChars="200"/>
      <w:outlineLvl w:val="0"/>
    </w:pPr>
    <w:rPr>
      <w:rFonts w:ascii="宋体"/>
      <w:sz w:val="28"/>
      <w:szCs w:val="2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7">
    <w:name w:val="page number"/>
    <w:basedOn w:val="16"/>
    <w:qFormat/>
    <w:uiPriority w:val="0"/>
  </w:style>
  <w:style w:type="paragraph" w:customStyle="1" w:styleId="18">
    <w:name w:val="xl27"/>
    <w:basedOn w:val="1"/>
    <w:qFormat/>
    <w:uiPriority w:val="0"/>
    <w:pPr>
      <w:widowControl/>
      <w:pBdr>
        <w:bottom w:val="single" w:color="auto" w:sz="12" w:space="0"/>
      </w:pBdr>
      <w:spacing w:before="100" w:after="100"/>
      <w:jc w:val="center"/>
    </w:pPr>
    <w:rPr>
      <w:rFonts w:ascii="宋体"/>
      <w:kern w:val="0"/>
      <w:szCs w:val="20"/>
    </w:rPr>
  </w:style>
  <w:style w:type="paragraph" w:customStyle="1" w:styleId="19">
    <w:name w:val="表文"/>
    <w:qFormat/>
    <w:uiPriority w:val="0"/>
    <w:pPr>
      <w:tabs>
        <w:tab w:val="left" w:pos="1021"/>
        <w:tab w:val="left" w:pos="1680"/>
      </w:tabs>
      <w:adjustRightInd w:val="0"/>
      <w:snapToGrid w:val="0"/>
      <w:jc w:val="center"/>
    </w:pPr>
    <w:rPr>
      <w:rFonts w:ascii="Calibri" w:hAnsi="Calibri" w:eastAsia="宋体" w:cs="Times New Roman"/>
      <w:snapToGrid w:val="0"/>
      <w:sz w:val="21"/>
      <w:szCs w:val="21"/>
      <w:lang w:val="en-US" w:eastAsia="zh-CN" w:bidi="ar-SA"/>
    </w:rPr>
  </w:style>
  <w:style w:type="paragraph" w:customStyle="1" w:styleId="20">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1">
    <w:name w:val="表头及表尾"/>
    <w:qFormat/>
    <w:uiPriority w:val="0"/>
    <w:pPr>
      <w:tabs>
        <w:tab w:val="center" w:pos="4200"/>
        <w:tab w:val="right" w:pos="8400"/>
      </w:tabs>
      <w:adjustRightInd w:val="0"/>
      <w:snapToGrid w:val="0"/>
      <w:spacing w:line="360" w:lineRule="auto"/>
      <w:jc w:val="center"/>
    </w:pPr>
    <w:rPr>
      <w:rFonts w:ascii="Calibri" w:hAnsi="Calibri" w:eastAsia="宋体" w:cs="Times New Roman"/>
      <w:b/>
      <w:snapToGrid w:val="0"/>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Microsoft</Company>
  <Pages>7</Pages>
  <Words>3280</Words>
  <Characters>3437</Characters>
  <Lines>194</Lines>
  <Paragraphs>57</Paragraphs>
  <TotalTime>1039</TotalTime>
  <ScaleCrop>false</ScaleCrop>
  <LinksUpToDate>false</LinksUpToDate>
  <CharactersWithSpaces>3470</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2022-02-25T01:42:00Z</dcterms:created>
  <dc:creator>w's'd</dc:creator>
  <cp:lastModifiedBy>administrator</cp:lastModifiedBy>
  <cp:lastPrinted>2022-09-14T15:25:00Z</cp:lastPrinted>
  <dcterms:modified xsi:type="dcterms:W3CDTF">2026-06-03T09:56:14Z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4FFC5C362B86BE84CDB2176A4F980356_43</vt:lpwstr>
  </property>
</Properties>
</file>