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86BE5">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hAnsi="仿宋" w:eastAsia="仿宋" w:cs="Times New Roman"/>
          <w:b/>
          <w:bCs/>
          <w:kern w:val="0"/>
          <w:sz w:val="44"/>
          <w:szCs w:val="44"/>
        </w:rPr>
      </w:pPr>
      <w:r>
        <w:rPr>
          <w:rFonts w:hint="eastAsia" w:ascii="仿宋" w:hAnsi="仿宋" w:eastAsia="仿宋" w:cs="Times New Roman"/>
          <w:sz w:val="32"/>
          <w:szCs w:val="32"/>
        </w:rPr>
        <w:t xml:space="preserve">     </w:t>
      </w:r>
    </w:p>
    <w:p w14:paraId="059A7268">
      <w:pPr>
        <w:keepNext w:val="0"/>
        <w:keepLines w:val="0"/>
        <w:pageBreakBefore w:val="0"/>
        <w:widowControl w:val="0"/>
        <w:kinsoku/>
        <w:wordWrap/>
        <w:overflowPunct/>
        <w:topLinePunct w:val="0"/>
        <w:autoSpaceDE/>
        <w:autoSpaceDN/>
        <w:bidi w:val="0"/>
        <w:adjustRightInd/>
        <w:snapToGrid/>
        <w:spacing w:before="156" w:beforeLines="50" w:after="157" w:afterLines="50" w:line="560" w:lineRule="exact"/>
        <w:jc w:val="righ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w:t>
      </w:r>
      <w:r>
        <w:rPr>
          <w:rFonts w:hint="eastAsia" w:ascii="Times New Roman" w:hAnsi="Times New Roman" w:eastAsia="仿宋_GB2312" w:cs="仿宋_GB2312"/>
          <w:color w:val="auto"/>
          <w:sz w:val="32"/>
          <w:szCs w:val="32"/>
          <w:lang w:val="en-US" w:eastAsia="zh-CN"/>
        </w:rPr>
        <w:t>许〔2026〕02-00</w:t>
      </w:r>
      <w:r>
        <w:rPr>
          <w:rFonts w:hint="default" w:ascii="Times New Roman" w:hAnsi="Times New Roman" w:eastAsia="仿宋_GB2312" w:cs="仿宋_GB2312"/>
          <w:color w:val="auto"/>
          <w:sz w:val="32"/>
          <w:szCs w:val="32"/>
          <w:lang w:val="en-US" w:eastAsia="zh-CN"/>
        </w:rPr>
        <w:t>15</w:t>
      </w:r>
      <w:r>
        <w:rPr>
          <w:rFonts w:hint="eastAsia" w:ascii="Times New Roman" w:hAnsi="Times New Roman" w:eastAsia="仿宋_GB2312" w:cs="仿宋_GB2312"/>
          <w:color w:val="auto"/>
          <w:sz w:val="32"/>
          <w:szCs w:val="32"/>
          <w:lang w:val="en-US" w:eastAsia="zh-CN"/>
        </w:rPr>
        <w:t>号</w:t>
      </w:r>
    </w:p>
    <w:p w14:paraId="242516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关于秦皇岛市博阳矿业有限公司</w:t>
      </w:r>
      <w:r>
        <w:rPr>
          <w:rFonts w:hint="default" w:ascii="方正小标宋简体" w:hAnsi="方正小标宋简体" w:eastAsia="方正小标宋简体" w:cs="方正小标宋简体"/>
          <w:kern w:val="44"/>
          <w:sz w:val="44"/>
          <w:szCs w:val="44"/>
          <w:lang w:val="en-US" w:eastAsia="zh-CN"/>
        </w:rPr>
        <w:t>回转窑生产线新增氧化钙粉生产线项目</w:t>
      </w:r>
      <w:r>
        <w:rPr>
          <w:rFonts w:hint="eastAsia" w:ascii="方正小标宋简体" w:hAnsi="方正小标宋简体" w:eastAsia="方正小标宋简体" w:cs="方正小标宋简体"/>
          <w:kern w:val="44"/>
          <w:sz w:val="44"/>
          <w:szCs w:val="44"/>
        </w:rPr>
        <w:t>环境影响报告表的</w:t>
      </w:r>
    </w:p>
    <w:p w14:paraId="304625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批</w:t>
      </w:r>
      <w:r>
        <w:rPr>
          <w:rFonts w:hint="default" w:ascii="方正小标宋简体" w:hAnsi="方正小标宋简体" w:eastAsia="方正小标宋简体" w:cs="方正小标宋简体"/>
          <w:kern w:val="44"/>
          <w:sz w:val="44"/>
          <w:szCs w:val="44"/>
          <w:lang w:val="en-US"/>
        </w:rPr>
        <w:t xml:space="preserve"> </w:t>
      </w:r>
      <w:r>
        <w:rPr>
          <w:rFonts w:hint="eastAsia" w:ascii="方正小标宋简体" w:hAnsi="方正小标宋简体" w:eastAsia="方正小标宋简体" w:cs="方正小标宋简体"/>
          <w:kern w:val="44"/>
          <w:sz w:val="44"/>
          <w:szCs w:val="44"/>
        </w:rPr>
        <w:t>复</w:t>
      </w:r>
    </w:p>
    <w:p w14:paraId="2CEF44C8">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仿宋" w:hAnsi="仿宋" w:eastAsia="仿宋" w:cs="Times New Roman"/>
          <w:sz w:val="32"/>
          <w:szCs w:val="32"/>
          <w:lang w:eastAsia="zh-CN"/>
        </w:rPr>
      </w:pPr>
    </w:p>
    <w:p w14:paraId="240421D0">
      <w:pPr>
        <w:keepNext w:val="0"/>
        <w:keepLines w:val="0"/>
        <w:pageBreakBefore w:val="0"/>
        <w:widowControl w:val="0"/>
        <w:kinsoku/>
        <w:wordWrap/>
        <w:overflowPunct/>
        <w:topLinePunct w:val="0"/>
        <w:autoSpaceDE/>
        <w:autoSpaceDN/>
        <w:bidi w:val="0"/>
        <w:snapToGrid w:val="0"/>
        <w:spacing w:line="560" w:lineRule="exact"/>
        <w:ind w:left="0" w:right="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秦皇岛市博阳矿业有限公司</w:t>
      </w:r>
      <w:r>
        <w:rPr>
          <w:rFonts w:hint="eastAsia" w:ascii="仿宋_GB2312" w:hAnsi="仿宋_GB2312" w:eastAsia="仿宋_GB2312" w:cs="仿宋_GB2312"/>
          <w:sz w:val="32"/>
          <w:szCs w:val="32"/>
        </w:rPr>
        <w:t>：</w:t>
      </w:r>
    </w:p>
    <w:p w14:paraId="5ED418A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所</w:t>
      </w:r>
      <w:r>
        <w:rPr>
          <w:rFonts w:hint="eastAsia" w:ascii="仿宋_GB2312" w:hAnsi="仿宋_GB2312" w:eastAsia="仿宋_GB2312" w:cs="仿宋_GB2312"/>
          <w:sz w:val="32"/>
          <w:szCs w:val="32"/>
        </w:rPr>
        <w:t>报《</w:t>
      </w:r>
      <w:r>
        <w:rPr>
          <w:rFonts w:hint="default" w:ascii="仿宋_GB2312" w:hAnsi="仿宋_GB2312" w:eastAsia="仿宋_GB2312" w:cs="仿宋_GB2312"/>
          <w:sz w:val="32"/>
          <w:szCs w:val="32"/>
          <w:lang w:val="en-US" w:eastAsia="zh-CN"/>
        </w:rPr>
        <w:t>回转窑生产线新增氧化钙粉生产线项目</w:t>
      </w:r>
      <w:r>
        <w:rPr>
          <w:rFonts w:hint="eastAsia" w:ascii="仿宋_GB2312" w:hAnsi="仿宋_GB2312" w:eastAsia="仿宋_GB2312" w:cs="仿宋_GB2312"/>
          <w:sz w:val="32"/>
          <w:szCs w:val="32"/>
        </w:rPr>
        <w:t>环境影响报告表》（以下简称《报告表》）</w:t>
      </w:r>
      <w:r>
        <w:rPr>
          <w:rFonts w:hint="eastAsia" w:ascii="仿宋_GB2312" w:hAnsi="仿宋_GB2312" w:eastAsia="仿宋_GB2312" w:cs="仿宋_GB2312"/>
          <w:color w:val="000000"/>
          <w:sz w:val="32"/>
          <w:szCs w:val="32"/>
          <w:shd w:val="clear" w:color="auto" w:fill="FFFFFF"/>
        </w:rPr>
        <w:t>审批申请</w:t>
      </w:r>
      <w:r>
        <w:rPr>
          <w:rFonts w:hint="eastAsia" w:ascii="仿宋_GB2312" w:hAnsi="仿宋_GB2312" w:eastAsia="仿宋_GB2312" w:cs="仿宋_GB2312"/>
          <w:sz w:val="32"/>
          <w:szCs w:val="32"/>
        </w:rPr>
        <w:t>及相关材料</w:t>
      </w:r>
      <w:r>
        <w:rPr>
          <w:rFonts w:hint="eastAsia" w:ascii="仿宋_GB2312" w:hAnsi="仿宋_GB2312" w:eastAsia="仿宋_GB2312" w:cs="仿宋_GB2312"/>
          <w:color w:val="000000"/>
          <w:kern w:val="0"/>
          <w:sz w:val="32"/>
          <w:szCs w:val="32"/>
        </w:rPr>
        <w:t>收悉。</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kern w:val="0"/>
          <w:sz w:val="32"/>
          <w:szCs w:val="32"/>
          <w:lang w:val="en-US" w:eastAsia="zh-CN"/>
        </w:rPr>
        <w:t>环境影响</w:t>
      </w:r>
      <w:r>
        <w:rPr>
          <w:rFonts w:hint="eastAsia" w:ascii="仿宋_GB2312" w:hAnsi="仿宋_GB2312" w:eastAsia="仿宋_GB2312" w:cs="仿宋_GB2312"/>
          <w:color w:val="auto"/>
          <w:kern w:val="0"/>
          <w:sz w:val="32"/>
          <w:szCs w:val="32"/>
        </w:rPr>
        <w:t>报告</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结论、专家意见</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kern w:val="0"/>
          <w:sz w:val="32"/>
          <w:szCs w:val="32"/>
        </w:rPr>
        <w:t>环境影响特点及</w:t>
      </w:r>
      <w:r>
        <w:rPr>
          <w:rFonts w:hint="eastAsia" w:ascii="仿宋_GB2312" w:hAnsi="仿宋_GB2312" w:eastAsia="仿宋_GB2312" w:cs="仿宋_GB2312"/>
          <w:color w:val="auto"/>
          <w:kern w:val="0"/>
          <w:sz w:val="32"/>
          <w:szCs w:val="32"/>
          <w:lang w:val="en-US" w:eastAsia="zh-CN"/>
        </w:rPr>
        <w:t>公示反馈等方面情况</w:t>
      </w:r>
      <w:r>
        <w:rPr>
          <w:rFonts w:hint="eastAsia" w:ascii="仿宋_GB2312" w:hAnsi="仿宋_GB2312" w:eastAsia="仿宋_GB2312" w:cs="仿宋_GB2312"/>
          <w:color w:val="auto"/>
          <w:kern w:val="0"/>
          <w:sz w:val="32"/>
          <w:szCs w:val="32"/>
        </w:rPr>
        <w:t xml:space="preserve">，经研究，现批复如下： </w:t>
      </w:r>
    </w:p>
    <w:p w14:paraId="684871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项目建设内容和总体要求</w:t>
      </w:r>
      <w:r>
        <w:rPr>
          <w:rFonts w:hint="eastAsia" w:ascii="仿宋_GB2312" w:hAnsi="仿宋_GB2312" w:eastAsia="仿宋_GB2312" w:cs="仿宋_GB2312"/>
          <w:color w:val="000000"/>
          <w:kern w:val="0"/>
          <w:sz w:val="32"/>
          <w:szCs w:val="32"/>
          <w:lang w:val="en-US" w:eastAsia="zh-CN"/>
        </w:rPr>
        <w:t xml:space="preserve">  </w:t>
      </w:r>
    </w:p>
    <w:p w14:paraId="444E4B4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该项目位于秦皇岛市卢龙县石门循环经济产业园现有厂区内，为技术改造项目，</w:t>
      </w:r>
      <w:r>
        <w:rPr>
          <w:rFonts w:hint="eastAsia" w:ascii="仿宋_GB2312" w:hAnsi="仿宋_GB2312" w:eastAsia="仿宋_GB2312" w:cs="仿宋_GB2312"/>
          <w:color w:val="auto"/>
          <w:sz w:val="32"/>
          <w:szCs w:val="32"/>
        </w:rPr>
        <w:t>项目主要建设内容：</w:t>
      </w:r>
      <w:r>
        <w:rPr>
          <w:rFonts w:hint="eastAsia" w:ascii="仿宋_GB2312" w:hAnsi="仿宋_GB2312" w:eastAsia="仿宋_GB2312" w:cs="仿宋_GB2312"/>
          <w:color w:val="auto"/>
          <w:sz w:val="32"/>
          <w:szCs w:val="32"/>
          <w:lang w:val="en-US" w:eastAsia="zh-CN"/>
        </w:rPr>
        <w:t>项目对回转窑生产线的石灰筛下物进行深加工。在现有厂区内新增石灰磨粉生产线一条，年产1.8万吨，主要新增雷蒙磨一套，上料仓、转运皮带、除尘器、成品仓等设备；新增破碎生产线一条，年产4.2万吨，主要新增锤式破碎机一套、上料仓、除尘器、成品仓等设备。</w:t>
      </w:r>
      <w:r>
        <w:rPr>
          <w:rFonts w:hint="eastAsia" w:ascii="仿宋_GB2312" w:hAnsi="仿宋_GB2312" w:eastAsia="仿宋_GB2312" w:cs="仿宋_GB2312"/>
          <w:b w:val="0"/>
          <w:bCs w:val="0"/>
          <w:color w:val="auto"/>
          <w:sz w:val="32"/>
          <w:szCs w:val="32"/>
          <w:lang w:eastAsia="zh-CN"/>
        </w:rPr>
        <w:t>项目总投资</w:t>
      </w:r>
      <w:r>
        <w:rPr>
          <w:rFonts w:hint="default"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00</w:t>
      </w:r>
      <w:r>
        <w:rPr>
          <w:rFonts w:hint="eastAsia" w:ascii="仿宋_GB2312" w:hAnsi="仿宋_GB2312" w:eastAsia="仿宋_GB2312" w:cs="仿宋_GB2312"/>
          <w:b w:val="0"/>
          <w:bCs w:val="0"/>
          <w:color w:val="auto"/>
          <w:sz w:val="32"/>
          <w:szCs w:val="32"/>
          <w:lang w:eastAsia="zh-CN"/>
        </w:rPr>
        <w:t>万元，其中环保投资20万元，占总投资的</w:t>
      </w:r>
      <w:r>
        <w:rPr>
          <w:rFonts w:hint="default"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w:t>
      </w:r>
    </w:p>
    <w:p w14:paraId="1E74CA3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kern w:val="0"/>
          <w:sz w:val="32"/>
          <w:szCs w:val="32"/>
        </w:rPr>
        <w:t>项目不属于《产业结构调整指导目录》（2024年本）限制、淘汰类；</w:t>
      </w:r>
      <w:r>
        <w:rPr>
          <w:rFonts w:hint="eastAsia" w:ascii="仿宋_GB2312" w:hAnsi="仿宋_GB2312" w:eastAsia="仿宋_GB2312" w:cs="仿宋_GB2312"/>
          <w:b w:val="0"/>
          <w:bCs w:val="0"/>
          <w:sz w:val="32"/>
          <w:szCs w:val="32"/>
        </w:rPr>
        <w:t>不属于《市场准入负面清单（2022年版）》中禁止准入类；</w:t>
      </w:r>
      <w:r>
        <w:rPr>
          <w:rFonts w:hint="eastAsia" w:ascii="仿宋_GB2312" w:hAnsi="仿宋_GB2312" w:eastAsia="仿宋_GB2312" w:cs="仿宋_GB2312"/>
          <w:b w:val="0"/>
          <w:bCs w:val="0"/>
          <w:kern w:val="0"/>
          <w:sz w:val="32"/>
          <w:szCs w:val="32"/>
        </w:rPr>
        <w:t>该项目已通过</w:t>
      </w:r>
      <w:r>
        <w:rPr>
          <w:rFonts w:hint="eastAsia" w:ascii="仿宋_GB2312" w:hAnsi="仿宋_GB2312" w:eastAsia="仿宋_GB2312" w:cs="仿宋_GB2312"/>
          <w:b w:val="0"/>
          <w:bCs w:val="0"/>
          <w:sz w:val="32"/>
          <w:szCs w:val="32"/>
          <w:lang w:val="en-US" w:eastAsia="zh-CN"/>
        </w:rPr>
        <w:t>卢龙县科技和工业信息化局</w:t>
      </w:r>
      <w:r>
        <w:rPr>
          <w:rFonts w:hint="eastAsia" w:ascii="仿宋_GB2312" w:hAnsi="仿宋_GB2312" w:eastAsia="仿宋_GB2312" w:cs="仿宋_GB2312"/>
          <w:b w:val="0"/>
          <w:bCs w:val="0"/>
          <w:kern w:val="0"/>
          <w:sz w:val="32"/>
          <w:szCs w:val="32"/>
        </w:rPr>
        <w:t>备案,</w:t>
      </w:r>
      <w:r>
        <w:rPr>
          <w:rFonts w:hint="eastAsia" w:ascii="仿宋_GB2312" w:hAnsi="仿宋_GB2312" w:eastAsia="仿宋_GB2312" w:cs="仿宋_GB2312"/>
          <w:b w:val="0"/>
          <w:bCs w:val="0"/>
          <w:sz w:val="32"/>
          <w:szCs w:val="32"/>
          <w:highlight w:val="none"/>
        </w:rPr>
        <w:t>备案编号:</w:t>
      </w:r>
      <w:r>
        <w:rPr>
          <w:rFonts w:hint="eastAsia" w:ascii="仿宋_GB2312" w:hAnsi="仿宋_GB2312" w:eastAsia="仿宋_GB2312" w:cs="仿宋_GB2312"/>
          <w:b w:val="0"/>
          <w:bCs w:val="0"/>
          <w:sz w:val="32"/>
          <w:szCs w:val="32"/>
          <w:lang w:val="en-US" w:eastAsia="zh-CN"/>
        </w:rPr>
        <w:t>卢科工技改备字〔2026〕1 号</w:t>
      </w:r>
      <w:r>
        <w:rPr>
          <w:rFonts w:hint="eastAsia" w:ascii="仿宋_GB2312" w:hAnsi="仿宋_GB2312" w:eastAsia="仿宋_GB2312" w:cs="仿宋_GB2312"/>
          <w:b w:val="0"/>
          <w:bCs w:val="0"/>
          <w:color w:val="auto"/>
          <w:kern w:val="0"/>
          <w:sz w:val="32"/>
          <w:szCs w:val="32"/>
          <w:lang w:val="en-US" w:eastAsia="zh-CN"/>
        </w:rPr>
        <w:t>。</w:t>
      </w:r>
    </w:p>
    <w:p w14:paraId="7A9366AD">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该《报告表》已通过河北超泰环保科技有限公司评估，结合评估意见（</w:t>
      </w:r>
      <w:r>
        <w:rPr>
          <w:rFonts w:hint="eastAsia" w:ascii="仿宋_GB2312" w:hAnsi="仿宋_GB2312" w:eastAsia="仿宋_GB2312" w:cs="仿宋_GB2312"/>
          <w:b w:val="0"/>
          <w:bCs/>
          <w:color w:val="auto"/>
          <w:sz w:val="32"/>
          <w:szCs w:val="32"/>
          <w:highlight w:val="none"/>
          <w:lang w:eastAsia="zh-CN"/>
        </w:rPr>
        <w:t>超泰</w:t>
      </w:r>
      <w:r>
        <w:rPr>
          <w:rFonts w:hint="eastAsia" w:ascii="仿宋_GB2312" w:hAnsi="仿宋_GB2312" w:eastAsia="仿宋_GB2312" w:cs="仿宋_GB2312"/>
          <w:b w:val="0"/>
          <w:bCs/>
          <w:color w:val="auto"/>
          <w:sz w:val="32"/>
          <w:szCs w:val="32"/>
          <w:highlight w:val="none"/>
        </w:rPr>
        <w:t>环评</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］027号）</w:t>
      </w:r>
      <w:r>
        <w:rPr>
          <w:rFonts w:hint="eastAsia" w:ascii="仿宋_GB2312" w:hAnsi="仿宋_GB2312" w:eastAsia="仿宋_GB2312" w:cs="仿宋_GB2312"/>
          <w:color w:val="000000"/>
          <w:kern w:val="0"/>
          <w:sz w:val="32"/>
          <w:szCs w:val="32"/>
          <w:lang w:eastAsia="zh-CN"/>
        </w:rPr>
        <w:t>及</w:t>
      </w:r>
      <w:r>
        <w:rPr>
          <w:rFonts w:hint="eastAsia" w:ascii="仿宋_GB2312" w:hAnsi="仿宋_GB2312" w:eastAsia="仿宋_GB2312" w:cs="仿宋_GB2312"/>
          <w:color w:val="000000"/>
          <w:kern w:val="0"/>
          <w:sz w:val="32"/>
          <w:szCs w:val="32"/>
        </w:rPr>
        <w:t>公示反馈情况，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14:paraId="2BCAD09E">
      <w:pPr>
        <w:keepNext w:val="0"/>
        <w:keepLines w:val="0"/>
        <w:pageBreakBefore w:val="0"/>
        <w:widowControl w:val="0"/>
        <w:kinsoku/>
        <w:wordWrap/>
        <w:overflowPunct/>
        <w:topLinePunct w:val="0"/>
        <w:autoSpaceDE/>
        <w:autoSpaceDN/>
        <w:bidi w:val="0"/>
        <w:snapToGrid w:val="0"/>
        <w:spacing w:line="560" w:lineRule="exact"/>
        <w:ind w:left="0" w:righ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w:t>
      </w:r>
      <w:r>
        <w:rPr>
          <w:rFonts w:hint="eastAsia" w:ascii="仿宋_GB2312" w:hAnsi="仿宋_GB2312" w:eastAsia="仿宋_GB2312" w:cs="仿宋_GB2312"/>
          <w:spacing w:val="-6"/>
          <w:sz w:val="32"/>
          <w:szCs w:val="32"/>
        </w:rPr>
        <w:t>认真落实各项污染防治措施，加强环保设施运营管理，确保满足相关要求，</w:t>
      </w:r>
      <w:r>
        <w:rPr>
          <w:rFonts w:hint="eastAsia" w:ascii="仿宋_GB2312" w:hAnsi="仿宋_GB2312" w:eastAsia="仿宋_GB2312" w:cs="仿宋_GB2312"/>
          <w:color w:val="000000"/>
          <w:kern w:val="0"/>
          <w:sz w:val="32"/>
          <w:szCs w:val="32"/>
        </w:rPr>
        <w:t>并重点做好以下工作：</w:t>
      </w:r>
    </w:p>
    <w:p w14:paraId="34F184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eastAsia="zh-CN"/>
        </w:rPr>
        <w:t>（一）</w:t>
      </w:r>
      <w:r>
        <w:rPr>
          <w:rFonts w:hint="eastAsia" w:ascii="仿宋_GB2312" w:hAnsi="仿宋_GB2312" w:eastAsia="仿宋_GB2312" w:cs="仿宋_GB2312"/>
          <w:color w:val="000000"/>
          <w:spacing w:val="-6"/>
          <w:sz w:val="32"/>
          <w:szCs w:val="32"/>
        </w:rPr>
        <w:t>加强施工期环境管理，减少施工对环境的影响</w:t>
      </w:r>
    </w:p>
    <w:p w14:paraId="20A45F8C">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spacing w:val="-6"/>
          <w:sz w:val="32"/>
          <w:szCs w:val="32"/>
        </w:rPr>
      </w:pPr>
      <w:r>
        <w:rPr>
          <w:rFonts w:hint="default" w:ascii="仿宋_GB2312" w:hAnsi="仿宋_GB2312" w:eastAsia="仿宋_GB2312" w:cs="仿宋_GB2312"/>
          <w:color w:val="000000"/>
          <w:spacing w:val="-6"/>
          <w:sz w:val="32"/>
          <w:szCs w:val="32"/>
        </w:rPr>
        <w:t xml:space="preserve">  </w:t>
      </w:r>
      <w:r>
        <w:rPr>
          <w:rFonts w:hint="default" w:ascii="仿宋_GB2312" w:hAnsi="仿宋_GB2312" w:eastAsia="仿宋_GB2312" w:cs="仿宋_GB2312"/>
          <w:color w:val="auto"/>
          <w:spacing w:val="-6"/>
          <w:sz w:val="32"/>
          <w:szCs w:val="32"/>
        </w:rPr>
        <w:t xml:space="preserve">  </w:t>
      </w:r>
      <w:r>
        <w:rPr>
          <w:rFonts w:hint="eastAsia" w:ascii="仿宋_GB2312" w:hAnsi="仿宋_GB2312" w:eastAsia="仿宋_GB2312" w:cs="仿宋_GB2312"/>
          <w:color w:val="auto"/>
          <w:spacing w:val="-6"/>
          <w:sz w:val="32"/>
          <w:szCs w:val="32"/>
        </w:rPr>
        <w:t>1</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sz w:val="32"/>
          <w:szCs w:val="32"/>
        </w:rPr>
        <w:t>建设及施工单位要严格执行《河北省2024年建筑施工扬尘污染防治工作方案》、《中共河北省委、河北省人民政府关于强力推进大气污染综合治理的意见》（冀发〔2017〕7号）和《河北省扬尘污染防治办法》中有关施工扬尘的管理规定，同时结合《防治城市扬尘污染技术规范》(HJ/T393-2007)及同类施工场地采取的抑尘措施，落实各项控制扬尘污染措施，施工场地扬尘排放执行《施工场地扬尘排放标准》（DB13/2934-2019）的要求。施工生产废水主要为混凝土养护等过程产生的废水以及运输车辆冲洗废水，经处理后循环使用或用于场地洒水抑尘</w:t>
      </w:r>
      <w:r>
        <w:rPr>
          <w:rFonts w:hint="default" w:ascii="仿宋_GB2312" w:hAnsi="仿宋_GB2312" w:eastAsia="仿宋_GB2312" w:cs="仿宋_GB2312"/>
          <w:color w:val="auto"/>
          <w:spacing w:val="-6"/>
          <w:sz w:val="32"/>
          <w:szCs w:val="32"/>
          <w:lang w:val="en-US"/>
        </w:rPr>
        <w:t>,施工人员的盥洗废水产生量较少,用于场地喷洒抑尘</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eastAsia="zh-CN"/>
        </w:rPr>
        <w:t>本项目</w:t>
      </w:r>
      <w:r>
        <w:rPr>
          <w:rFonts w:hint="eastAsia" w:ascii="仿宋_GB2312" w:hAnsi="仿宋_GB2312" w:eastAsia="仿宋_GB2312" w:cs="仿宋_GB2312"/>
          <w:color w:val="auto"/>
          <w:spacing w:val="-6"/>
          <w:sz w:val="32"/>
          <w:szCs w:val="32"/>
        </w:rPr>
        <w:t>采用低噪声施工机械，避免高噪声机械同时作业，合理安排施工时间及进度，禁止夜间施工，确需夜间施工的，提前到相关部门登记并告知周边村民，施工阶段作业噪声</w:t>
      </w:r>
      <w:r>
        <w:rPr>
          <w:rFonts w:hint="eastAsia" w:ascii="仿宋_GB2312" w:hAnsi="仿宋_GB2312" w:eastAsia="仿宋_GB2312" w:cs="仿宋_GB2312"/>
          <w:color w:val="auto"/>
          <w:spacing w:val="-6"/>
          <w:sz w:val="32"/>
          <w:szCs w:val="32"/>
          <w:lang w:eastAsia="zh-CN"/>
        </w:rPr>
        <w:t>须</w:t>
      </w:r>
      <w:r>
        <w:rPr>
          <w:rFonts w:hint="eastAsia" w:ascii="仿宋_GB2312" w:hAnsi="仿宋_GB2312" w:eastAsia="仿宋_GB2312" w:cs="仿宋_GB2312"/>
          <w:color w:val="auto"/>
          <w:spacing w:val="-6"/>
          <w:sz w:val="32"/>
          <w:szCs w:val="32"/>
        </w:rPr>
        <w:t>满足《建筑施工噪声排放标准》（GB12523-2025）要求；施工期产生的生活垃圾由环卫部门统一收集处置</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建筑垃圾</w:t>
      </w:r>
      <w:r>
        <w:rPr>
          <w:rFonts w:hint="eastAsia" w:ascii="仿宋_GB2312" w:hAnsi="仿宋_GB2312" w:eastAsia="仿宋_GB2312" w:cs="仿宋_GB2312"/>
          <w:color w:val="auto"/>
          <w:spacing w:val="-6"/>
          <w:sz w:val="32"/>
          <w:szCs w:val="32"/>
          <w:lang w:eastAsia="zh-CN"/>
        </w:rPr>
        <w:t>须依法依规进行处置</w:t>
      </w:r>
      <w:r>
        <w:rPr>
          <w:rFonts w:hint="eastAsia" w:ascii="仿宋_GB2312" w:hAnsi="仿宋_GB2312" w:eastAsia="仿宋_GB2312" w:cs="仿宋_GB2312"/>
          <w:color w:val="auto"/>
          <w:spacing w:val="-6"/>
          <w:sz w:val="32"/>
          <w:szCs w:val="32"/>
        </w:rPr>
        <w:t>。</w:t>
      </w:r>
    </w:p>
    <w:p w14:paraId="0FCBD3A2">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加强防腐防渗措施。按《报告表》要求进行相应的防腐防渗施工。</w:t>
      </w:r>
    </w:p>
    <w:p w14:paraId="385823B9">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（二）加强运营期环保设施管理，认真落实各项污染防治措施，确保满足相关要求。</w:t>
      </w:r>
    </w:p>
    <w:p w14:paraId="11B7C905">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严格落实大气污染防治措施</w:t>
      </w:r>
    </w:p>
    <w:p w14:paraId="4494F650">
      <w:pPr>
        <w:keepNext w:val="0"/>
        <w:keepLines w:val="0"/>
        <w:pageBreakBefore w:val="0"/>
        <w:kinsoku/>
        <w:overflowPunct/>
        <w:topLinePunct w:val="0"/>
        <w:autoSpaceDE/>
        <w:autoSpaceDN/>
        <w:bidi w:val="0"/>
        <w:spacing w:line="560" w:lineRule="exact"/>
        <w:textAlignment w:val="auto"/>
        <w:rPr>
          <w:rFonts w:hint="default"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（1）</w:t>
      </w:r>
      <w:r>
        <w:rPr>
          <w:rFonts w:hint="default" w:ascii="仿宋_GB2312" w:hAnsi="仿宋_GB2312" w:eastAsia="仿宋_GB2312" w:cs="仿宋_GB2312"/>
          <w:color w:val="auto"/>
          <w:spacing w:val="-6"/>
          <w:sz w:val="32"/>
          <w:szCs w:val="32"/>
          <w:lang w:eastAsia="zh-CN"/>
        </w:rPr>
        <w:t>有组织废气</w:t>
      </w:r>
    </w:p>
    <w:p w14:paraId="639F4AC0">
      <w:pPr>
        <w:keepNext w:val="0"/>
        <w:keepLines w:val="0"/>
        <w:pageBreakBefore w:val="0"/>
        <w:kinsoku/>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项目破碎生产线及雷蒙磨生产线产生的粉尘经集气罩或者设备密闭收集后送1套布袋除尘器处理后经15m排气筒排放。</w:t>
      </w:r>
    </w:p>
    <w:p w14:paraId="0F6C3528">
      <w:pPr>
        <w:keepNext w:val="0"/>
        <w:keepLines w:val="0"/>
        <w:pageBreakBefore w:val="0"/>
        <w:kinsoku/>
        <w:overflowPunct/>
        <w:topLinePunct w:val="0"/>
        <w:autoSpaceDE/>
        <w:autoSpaceDN/>
        <w:bidi w:val="0"/>
        <w:spacing w:line="560" w:lineRule="exact"/>
        <w:ind w:firstLine="616" w:firstLineChars="200"/>
        <w:textAlignment w:val="auto"/>
        <w:rPr>
          <w:rFonts w:hint="default" w:ascii="仿宋_GB2312" w:hAnsi="仿宋_GB2312" w:eastAsia="仿宋_GB2312" w:cs="仿宋_GB2312"/>
          <w:color w:val="auto"/>
          <w:spacing w:val="-6"/>
          <w:sz w:val="32"/>
          <w:szCs w:val="32"/>
          <w:lang w:val="en-US" w:eastAsia="zh-CN"/>
        </w:rPr>
      </w:pPr>
      <w:r>
        <w:rPr>
          <w:rFonts w:hint="default" w:ascii="仿宋_GB2312" w:hAnsi="仿宋_GB2312" w:eastAsia="仿宋_GB2312" w:cs="仿宋_GB2312"/>
          <w:color w:val="auto"/>
          <w:spacing w:val="-6"/>
          <w:sz w:val="32"/>
          <w:szCs w:val="32"/>
          <w:lang w:val="en-US" w:eastAsia="zh-CN"/>
        </w:rPr>
        <w:t>所排废气须满足《石灰工业大气污染物排放标准》（DB13/1641-2025）中表2</w:t>
      </w:r>
      <w:r>
        <w:rPr>
          <w:rFonts w:hint="default" w:ascii="仿宋_GB2312" w:hAnsi="仿宋_GB2312" w:eastAsia="仿宋_GB2312" w:cs="仿宋_GB2312"/>
          <w:color w:val="auto"/>
          <w:spacing w:val="-6"/>
          <w:sz w:val="32"/>
          <w:szCs w:val="32"/>
          <w:lang w:eastAsia="zh-CN"/>
        </w:rPr>
        <w:t>标准要求</w:t>
      </w:r>
      <w:r>
        <w:rPr>
          <w:rFonts w:hint="default" w:ascii="仿宋_GB2312" w:hAnsi="仿宋_GB2312" w:eastAsia="仿宋_GB2312" w:cs="仿宋_GB2312"/>
          <w:color w:val="auto"/>
          <w:spacing w:val="-6"/>
          <w:sz w:val="32"/>
          <w:szCs w:val="32"/>
          <w:lang w:val="en-US" w:eastAsia="zh-CN"/>
        </w:rPr>
        <w:t>。</w:t>
      </w:r>
    </w:p>
    <w:p w14:paraId="30E35BBA">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val="en-US" w:eastAsia="zh-CN"/>
        </w:rPr>
        <w:t>）</w:t>
      </w:r>
      <w:r>
        <w:rPr>
          <w:rFonts w:hint="default" w:ascii="仿宋_GB2312" w:hAnsi="仿宋_GB2312" w:eastAsia="仿宋_GB2312" w:cs="仿宋_GB2312"/>
          <w:color w:val="auto"/>
          <w:spacing w:val="-6"/>
          <w:sz w:val="32"/>
          <w:szCs w:val="32"/>
          <w:lang w:val="en-US" w:eastAsia="zh-CN"/>
        </w:rPr>
        <w:t>无组织废气</w:t>
      </w:r>
    </w:p>
    <w:p w14:paraId="21B5EF7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本项目</w:t>
      </w:r>
      <w:r>
        <w:rPr>
          <w:rFonts w:hint="eastAsia" w:ascii="仿宋_GB2312" w:hAnsi="仿宋_GB2312" w:eastAsia="仿宋_GB2312" w:cs="仿宋_GB2312"/>
          <w:color w:val="auto"/>
          <w:sz w:val="32"/>
          <w:szCs w:val="32"/>
          <w:lang w:val="en-US" w:eastAsia="zh-CN"/>
        </w:rPr>
        <w:t>设有密闭成品仓，在封闭车间内作业，物料输送采用密闭斗提或者密闭管道，雷蒙磨设备密闭负压运行，成品仓装车采用密闭管道负压气力输送，罐车自带布袋除尘器，厂区道路硬化，定期洒水抑尘，设置洗车装置等措施</w:t>
      </w:r>
      <w:r>
        <w:rPr>
          <w:rFonts w:hint="eastAsia" w:ascii="仿宋_GB2312" w:hAnsi="仿宋_GB2312" w:eastAsia="仿宋_GB2312" w:cs="仿宋_GB2312"/>
          <w:color w:val="auto"/>
          <w:spacing w:val="-6"/>
          <w:sz w:val="32"/>
          <w:szCs w:val="32"/>
          <w:lang w:val="en-US" w:eastAsia="zh-CN"/>
        </w:rPr>
        <w:t>。</w:t>
      </w:r>
    </w:p>
    <w:p w14:paraId="7EDB82E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eastAsia="zh-CN"/>
        </w:rPr>
      </w:pPr>
      <w:r>
        <w:rPr>
          <w:rFonts w:hint="default" w:ascii="仿宋_GB2312" w:hAnsi="仿宋_GB2312" w:eastAsia="仿宋_GB2312" w:cs="仿宋_GB2312"/>
          <w:color w:val="auto"/>
          <w:spacing w:val="-6"/>
          <w:sz w:val="32"/>
          <w:szCs w:val="32"/>
          <w:lang w:eastAsia="zh-CN"/>
        </w:rPr>
        <w:t>厂内无组织颗粒物</w:t>
      </w:r>
      <w:r>
        <w:rPr>
          <w:rFonts w:hint="eastAsia" w:ascii="仿宋_GB2312" w:hAnsi="仿宋_GB2312" w:eastAsia="仿宋_GB2312" w:cs="仿宋_GB2312"/>
          <w:color w:val="auto"/>
          <w:spacing w:val="-6"/>
          <w:sz w:val="32"/>
          <w:szCs w:val="32"/>
          <w:lang w:eastAsia="zh-CN"/>
        </w:rPr>
        <w:t>须满足</w:t>
      </w:r>
      <w:r>
        <w:rPr>
          <w:rFonts w:hint="default" w:ascii="仿宋_GB2312" w:hAnsi="仿宋_GB2312" w:eastAsia="仿宋_GB2312" w:cs="仿宋_GB2312"/>
          <w:color w:val="auto"/>
          <w:spacing w:val="-6"/>
          <w:sz w:val="32"/>
          <w:szCs w:val="32"/>
          <w:lang w:eastAsia="zh-CN"/>
        </w:rPr>
        <w:t>《石灰工业大气污染物排放标准》（DB13/1641-2025）表3限值，厂界颗粒物</w:t>
      </w:r>
      <w:r>
        <w:rPr>
          <w:rFonts w:hint="eastAsia" w:ascii="仿宋_GB2312" w:hAnsi="仿宋_GB2312" w:eastAsia="仿宋_GB2312" w:cs="仿宋_GB2312"/>
          <w:color w:val="auto"/>
          <w:spacing w:val="-6"/>
          <w:sz w:val="32"/>
          <w:szCs w:val="32"/>
          <w:lang w:eastAsia="zh-CN"/>
        </w:rPr>
        <w:t>须满足</w:t>
      </w:r>
      <w:r>
        <w:rPr>
          <w:rFonts w:hint="default" w:ascii="仿宋_GB2312" w:hAnsi="仿宋_GB2312" w:eastAsia="仿宋_GB2312" w:cs="仿宋_GB2312"/>
          <w:color w:val="auto"/>
          <w:spacing w:val="-6"/>
          <w:sz w:val="32"/>
          <w:szCs w:val="32"/>
          <w:lang w:eastAsia="zh-CN"/>
        </w:rPr>
        <w:t>《大气污染物综合排放标准（GB16297-1996）表2中周界外浓度最高点排放限值要求</w:t>
      </w:r>
      <w:r>
        <w:rPr>
          <w:rFonts w:hint="eastAsia" w:ascii="仿宋_GB2312" w:hAnsi="仿宋_GB2312" w:eastAsia="仿宋_GB2312" w:cs="仿宋_GB2312"/>
          <w:color w:val="auto"/>
          <w:spacing w:val="-6"/>
          <w:sz w:val="32"/>
          <w:szCs w:val="32"/>
          <w:lang w:eastAsia="zh-CN"/>
        </w:rPr>
        <w:t>，同时满足《秦皇岛市人民政府办公室关于执行钢铁等行业大气污染物排放特别要求的通知》（[2021]-10）无组织排放特别管控要求。</w:t>
      </w:r>
    </w:p>
    <w:p w14:paraId="1AFFD8FD">
      <w:pPr>
        <w:keepNext w:val="0"/>
        <w:keepLines w:val="0"/>
        <w:pageBreakBefore w:val="0"/>
        <w:widowControl w:val="0"/>
        <w:kinsoku/>
        <w:wordWrap/>
        <w:overflowPunct/>
        <w:topLinePunct w:val="0"/>
        <w:autoSpaceDE/>
        <w:autoSpaceDN/>
        <w:bidi w:val="0"/>
        <w:snapToGrid w:val="0"/>
        <w:spacing w:line="560" w:lineRule="exact"/>
        <w:ind w:right="0" w:firstLine="592"/>
        <w:textAlignment w:val="auto"/>
        <w:rPr>
          <w:rFonts w:hint="eastAsia" w:ascii="仿宋_GB2312" w:hAnsi="仿宋_GB2312" w:eastAsia="仿宋_GB2312" w:cs="仿宋_GB2312"/>
          <w:kern w:val="2"/>
          <w:sz w:val="32"/>
          <w:szCs w:val="32"/>
          <w:highlight w:val="none"/>
          <w:lang w:eastAsia="zh-CN" w:bidi="ar-SA"/>
        </w:rPr>
      </w:pPr>
      <w:r>
        <w:rPr>
          <w:rFonts w:hint="eastAsia" w:ascii="仿宋_GB2312" w:hAnsi="仿宋_GB2312" w:eastAsia="仿宋_GB2312" w:cs="仿宋_GB2312"/>
          <w:color w:val="auto"/>
          <w:spacing w:val="-6"/>
          <w:sz w:val="32"/>
          <w:szCs w:val="32"/>
        </w:rPr>
        <w:t>2.</w:t>
      </w:r>
      <w:r>
        <w:rPr>
          <w:rFonts w:hint="eastAsia" w:ascii="仿宋_GB2312" w:hAnsi="仿宋_GB2312" w:eastAsia="仿宋_GB2312" w:cs="仿宋_GB2312"/>
          <w:color w:val="auto"/>
          <w:spacing w:val="-6"/>
          <w:sz w:val="32"/>
          <w:szCs w:val="32"/>
          <w:lang w:eastAsia="zh-CN"/>
        </w:rPr>
        <w:t>本项目无新增废水</w:t>
      </w:r>
      <w:r>
        <w:rPr>
          <w:rFonts w:hint="eastAsia" w:ascii="仿宋_GB2312" w:hAnsi="仿宋_GB2312" w:eastAsia="仿宋_GB2312" w:cs="仿宋_GB2312"/>
          <w:kern w:val="2"/>
          <w:sz w:val="32"/>
          <w:szCs w:val="32"/>
          <w:highlight w:val="none"/>
          <w:lang w:eastAsia="zh-CN" w:bidi="ar-SA"/>
        </w:rPr>
        <w:t>。</w:t>
      </w:r>
    </w:p>
    <w:p w14:paraId="4DAED8C7">
      <w:pPr>
        <w:keepNext w:val="0"/>
        <w:keepLines w:val="0"/>
        <w:pageBreakBefore w:val="0"/>
        <w:widowControl w:val="0"/>
        <w:kinsoku/>
        <w:wordWrap/>
        <w:overflowPunct/>
        <w:topLinePunct w:val="0"/>
        <w:autoSpaceDE/>
        <w:autoSpaceDN/>
        <w:bidi w:val="0"/>
        <w:snapToGrid w:val="0"/>
        <w:spacing w:line="560" w:lineRule="exact"/>
        <w:ind w:right="0" w:firstLine="640"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kern w:val="2"/>
          <w:sz w:val="32"/>
          <w:szCs w:val="32"/>
          <w:highlight w:val="none"/>
          <w:lang w:val="en-US" w:eastAsia="zh-CN" w:bidi="ar-SA"/>
        </w:rPr>
        <w:t>3.严格落实噪声污染防治</w:t>
      </w:r>
      <w:r>
        <w:rPr>
          <w:rFonts w:hint="eastAsia" w:ascii="仿宋_GB2312" w:hAnsi="仿宋_GB2312" w:eastAsia="仿宋_GB2312" w:cs="仿宋_GB2312"/>
          <w:color w:val="auto"/>
          <w:spacing w:val="-6"/>
          <w:sz w:val="32"/>
          <w:szCs w:val="32"/>
        </w:rPr>
        <w:t>措施</w:t>
      </w:r>
    </w:p>
    <w:p w14:paraId="1F609EC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采取各项降噪措施，严格控制生产过程产生的噪声对周围环境的影响。项目选用低噪声设备、基础减振、隔声等措施，项目实施后厂界噪声须满足《工业企业厂界环境噪声排放标准》（GB12348-2008）</w:t>
      </w:r>
      <w:r>
        <w:rPr>
          <w:rFonts w:hint="eastAsia" w:ascii="仿宋_GB2312" w:hAnsi="仿宋_GB2312" w:eastAsia="仿宋_GB2312" w:cs="仿宋_GB2312"/>
          <w:color w:val="auto"/>
          <w:spacing w:val="-6"/>
          <w:sz w:val="32"/>
          <w:szCs w:val="32"/>
          <w:lang w:val="en-US" w:eastAsia="zh-CN"/>
        </w:rPr>
        <w:t>3</w:t>
      </w:r>
      <w:r>
        <w:rPr>
          <w:rFonts w:hint="eastAsia" w:ascii="仿宋_GB2312" w:hAnsi="仿宋_GB2312" w:eastAsia="仿宋_GB2312" w:cs="仿宋_GB2312"/>
          <w:color w:val="auto"/>
          <w:spacing w:val="-6"/>
          <w:sz w:val="32"/>
          <w:szCs w:val="32"/>
        </w:rPr>
        <w:t>类区标准要求</w:t>
      </w:r>
      <w:r>
        <w:rPr>
          <w:rFonts w:hint="eastAsia" w:ascii="仿宋_GB2312" w:hAnsi="仿宋_GB2312" w:eastAsia="仿宋_GB2312" w:cs="仿宋_GB2312"/>
          <w:color w:val="auto"/>
          <w:spacing w:val="-6"/>
          <w:sz w:val="32"/>
          <w:szCs w:val="32"/>
          <w:lang w:eastAsia="zh-CN"/>
        </w:rPr>
        <w:t>。</w:t>
      </w:r>
    </w:p>
    <w:p w14:paraId="61E47B8C">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4.严格落实固体废物污染防治措施</w:t>
      </w:r>
    </w:p>
    <w:p w14:paraId="0A047BF0">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rPr>
        <w:t>企业要严格落实固体废物分类处置和综合利用措施，认真落实《报告表》规定的固体废物处理、处置措施。按照“资源化、减量化、无害化”的固废处置原则，实现综合利用。项目产生的固体废物主要为</w:t>
      </w:r>
      <w:r>
        <w:rPr>
          <w:rFonts w:hint="eastAsia" w:ascii="仿宋_GB2312" w:hAnsi="仿宋_GB2312" w:eastAsia="仿宋_GB2312" w:cs="仿宋_GB2312"/>
          <w:color w:val="auto"/>
          <w:spacing w:val="-6"/>
          <w:sz w:val="32"/>
          <w:szCs w:val="32"/>
          <w:lang w:val="en-US" w:eastAsia="zh-CN"/>
        </w:rPr>
        <w:t>废布袋、废矿物油、废油桶。</w:t>
      </w:r>
    </w:p>
    <w:p w14:paraId="40ACC61A">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废布袋收集后外售。废矿物油和废矿物油桶</w:t>
      </w:r>
      <w:r>
        <w:rPr>
          <w:rFonts w:hint="default" w:ascii="仿宋_GB2312" w:hAnsi="仿宋_GB2312" w:eastAsia="仿宋_GB2312" w:cs="仿宋_GB2312"/>
          <w:color w:val="auto"/>
          <w:spacing w:val="-6"/>
          <w:sz w:val="32"/>
          <w:szCs w:val="32"/>
          <w:lang w:val="en-US" w:eastAsia="zh-CN"/>
        </w:rPr>
        <w:t>为危险废物，</w:t>
      </w:r>
      <w:r>
        <w:rPr>
          <w:rFonts w:hint="eastAsia" w:ascii="仿宋_GB2312" w:hAnsi="仿宋_GB2312" w:eastAsia="仿宋_GB2312" w:cs="仿宋_GB2312"/>
          <w:color w:val="auto"/>
          <w:spacing w:val="-6"/>
          <w:sz w:val="32"/>
          <w:szCs w:val="32"/>
          <w:lang w:val="en-US" w:eastAsia="zh-CN"/>
        </w:rPr>
        <w:t>依托现有危废暂存间暂存后，</w:t>
      </w:r>
      <w:r>
        <w:rPr>
          <w:rFonts w:hint="default" w:ascii="仿宋_GB2312" w:hAnsi="仿宋_GB2312" w:eastAsia="仿宋_GB2312" w:cs="仿宋_GB2312"/>
          <w:color w:val="auto"/>
          <w:spacing w:val="-6"/>
          <w:sz w:val="32"/>
          <w:szCs w:val="32"/>
          <w:lang w:val="en-US" w:eastAsia="zh-CN"/>
        </w:rPr>
        <w:t>定期交由具有危废处置资质单位处理</w:t>
      </w:r>
      <w:r>
        <w:rPr>
          <w:rFonts w:hint="eastAsia" w:ascii="仿宋_GB2312" w:hAnsi="仿宋_GB2312" w:eastAsia="仿宋_GB2312" w:cs="仿宋_GB2312"/>
          <w:color w:val="auto"/>
          <w:spacing w:val="-6"/>
          <w:sz w:val="32"/>
          <w:szCs w:val="32"/>
          <w:lang w:val="en-US" w:eastAsia="zh-CN"/>
        </w:rPr>
        <w:t>。</w:t>
      </w:r>
    </w:p>
    <w:p w14:paraId="5573474F">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项目产生的危险废物须满足《危险废物贮存污染控制标准》(GB18597-20</w:t>
      </w:r>
      <w:r>
        <w:rPr>
          <w:rFonts w:hint="default" w:ascii="仿宋_GB2312" w:hAnsi="仿宋_GB2312" w:eastAsia="仿宋_GB2312" w:cs="仿宋_GB2312"/>
          <w:color w:val="auto"/>
          <w:spacing w:val="-6"/>
          <w:sz w:val="32"/>
          <w:szCs w:val="32"/>
        </w:rPr>
        <w:t>23</w:t>
      </w:r>
      <w:r>
        <w:rPr>
          <w:rFonts w:hint="eastAsia" w:ascii="仿宋_GB2312" w:hAnsi="仿宋_GB2312" w:eastAsia="仿宋_GB2312" w:cs="仿宋_GB2312"/>
          <w:color w:val="auto"/>
          <w:spacing w:val="-6"/>
          <w:sz w:val="32"/>
          <w:szCs w:val="32"/>
        </w:rPr>
        <w:t>)要求。</w:t>
      </w:r>
    </w:p>
    <w:p w14:paraId="3C3135C7">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认真</w:t>
      </w:r>
      <w:r>
        <w:rPr>
          <w:rFonts w:hint="eastAsia" w:ascii="仿宋_GB2312" w:hAnsi="仿宋_GB2312" w:eastAsia="仿宋_GB2312" w:cs="仿宋_GB2312"/>
          <w:sz w:val="32"/>
          <w:szCs w:val="32"/>
        </w:rPr>
        <w:t>落实《报告表》其他环境管理要求。</w:t>
      </w:r>
    </w:p>
    <w:p w14:paraId="4ADC04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强化环境风险防范和应急措施。制订完善的环境管理、风险管理措施，设施配备齐全，加强相关人员培训</w:t>
      </w:r>
      <w:r>
        <w:rPr>
          <w:rFonts w:hint="eastAsia" w:ascii="仿宋_GB2312" w:hAnsi="仿宋_GB2312" w:eastAsia="仿宋_GB2312" w:cs="仿宋_GB2312"/>
          <w:color w:val="000000"/>
          <w:kern w:val="0"/>
          <w:sz w:val="32"/>
          <w:szCs w:val="32"/>
        </w:rPr>
        <w:t>。加强风险源管控，严格落实《报告表》中环境风险防范措施，</w:t>
      </w:r>
      <w:r>
        <w:rPr>
          <w:rFonts w:hint="eastAsia" w:ascii="仿宋_GB2312" w:hAnsi="仿宋_GB2312" w:eastAsia="仿宋_GB2312" w:cs="仿宋_GB2312"/>
          <w:color w:val="000000"/>
          <w:kern w:val="0"/>
          <w:sz w:val="32"/>
          <w:szCs w:val="32"/>
          <w:lang w:eastAsia="zh-CN"/>
        </w:rPr>
        <w:t>落实</w:t>
      </w:r>
      <w:r>
        <w:rPr>
          <w:rFonts w:hint="eastAsia" w:ascii="仿宋_GB2312" w:hAnsi="仿宋_GB2312" w:eastAsia="仿宋_GB2312" w:cs="仿宋_GB2312"/>
          <w:color w:val="000000"/>
          <w:kern w:val="0"/>
          <w:sz w:val="32"/>
          <w:szCs w:val="32"/>
        </w:rPr>
        <w:t>突发环境事件应急</w:t>
      </w:r>
      <w:r>
        <w:rPr>
          <w:rFonts w:hint="default" w:ascii="仿宋_GB2312" w:hAnsi="仿宋_GB2312" w:eastAsia="仿宋_GB2312" w:cs="仿宋_GB2312"/>
          <w:color w:val="000000"/>
          <w:kern w:val="0"/>
          <w:sz w:val="32"/>
          <w:szCs w:val="32"/>
        </w:rPr>
        <w:t>相关</w:t>
      </w:r>
      <w:r>
        <w:rPr>
          <w:rFonts w:hint="eastAsia" w:ascii="仿宋_GB2312" w:hAnsi="仿宋_GB2312" w:eastAsia="仿宋_GB2312" w:cs="仿宋_GB2312"/>
          <w:color w:val="000000"/>
          <w:kern w:val="0"/>
          <w:sz w:val="32"/>
          <w:szCs w:val="32"/>
          <w:lang w:eastAsia="zh-CN"/>
        </w:rPr>
        <w:t>要求</w:t>
      </w:r>
      <w:r>
        <w:rPr>
          <w:rFonts w:hint="eastAsia" w:ascii="仿宋_GB2312" w:hAnsi="仿宋_GB2312" w:eastAsia="仿宋_GB2312" w:cs="仿宋_GB2312"/>
          <w:color w:val="000000"/>
          <w:kern w:val="0"/>
          <w:sz w:val="32"/>
          <w:szCs w:val="32"/>
        </w:rPr>
        <w:t>，并与当地政府及相关部门应急预案做好衔接，定期进行应急培训和</w:t>
      </w:r>
      <w:r>
        <w:rPr>
          <w:rFonts w:hint="eastAsia" w:ascii="仿宋_GB2312" w:hAnsi="仿宋_GB2312" w:eastAsia="仿宋_GB2312" w:cs="仿宋_GB2312"/>
          <w:spacing w:val="-6"/>
          <w:sz w:val="32"/>
          <w:szCs w:val="32"/>
        </w:rPr>
        <w:t>演练，有效防范和应对环境风险。</w:t>
      </w:r>
    </w:p>
    <w:p w14:paraId="3592FA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 xml:space="preserve">认真落实《报告表》中规定的污染防治措施及清洁生产措施，项目实施后，企业须按照国家排污许可有关管理规定及时办理排污许可证。 </w:t>
      </w:r>
    </w:p>
    <w:p w14:paraId="1CA4326F">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14:paraId="1EB06BED">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w:t>
      </w:r>
      <w:r>
        <w:rPr>
          <w:rFonts w:hint="eastAsia" w:ascii="仿宋_GB2312" w:hAnsi="仿宋_GB2312" w:eastAsia="仿宋_GB2312" w:cs="仿宋_GB2312"/>
          <w:color w:val="000000"/>
          <w:sz w:val="32"/>
          <w:szCs w:val="32"/>
          <w:shd w:val="clear" w:color="auto" w:fill="FFFFFF"/>
        </w:rPr>
        <w:t>进一步强化污染源管理工作。按照国家和地方有关规定，建设规范的污染物排放口，设立标志牌</w:t>
      </w:r>
      <w:r>
        <w:rPr>
          <w:rFonts w:hint="eastAsia" w:ascii="仿宋_GB2312" w:hAnsi="仿宋_GB2312" w:eastAsia="仿宋_GB2312" w:cs="仿宋_GB2312"/>
          <w:spacing w:val="-6"/>
          <w:sz w:val="32"/>
          <w:szCs w:val="32"/>
        </w:rPr>
        <w:t>。</w:t>
      </w:r>
      <w:r>
        <w:rPr>
          <w:rFonts w:hint="eastAsia" w:ascii="仿宋_GB2312" w:hAnsi="仿宋_GB2312" w:eastAsia="仿宋_GB2312" w:cs="仿宋_GB2312"/>
          <w:color w:val="000000"/>
          <w:sz w:val="32"/>
          <w:szCs w:val="32"/>
          <w:shd w:val="clear" w:color="auto" w:fill="FFFFFF"/>
        </w:rPr>
        <w:t>对《报告表》要求的监测内容定期开展监测，企业应按照环境监测管理规定和技术规范的要求，设计、建设、维护永久性采样口、采样测试平台。</w:t>
      </w:r>
    </w:p>
    <w:p w14:paraId="71478F7C">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hAnsi="仿宋_GB2312" w:eastAsia="仿宋_GB2312" w:cs="仿宋_GB2312"/>
          <w:sz w:val="32"/>
          <w:szCs w:val="32"/>
        </w:rPr>
        <w:t>未经验收或者验收不合格的，不得投入生产或者使用</w:t>
      </w:r>
      <w:r>
        <w:rPr>
          <w:rFonts w:hint="eastAsia" w:ascii="仿宋_GB2312" w:hAns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hAnsi="仿宋_GB2312" w:eastAsia="仿宋_GB2312" w:cs="仿宋_GB2312"/>
          <w:sz w:val="32"/>
          <w:szCs w:val="32"/>
        </w:rPr>
        <w:t>工程自批复之日起五年后方决定开工建设的，需将环评文件报我局重新审核。</w:t>
      </w:r>
    </w:p>
    <w:p w14:paraId="39595A8A">
      <w:pPr>
        <w:keepNext w:val="0"/>
        <w:keepLines w:val="0"/>
        <w:pageBreakBefore w:val="0"/>
        <w:widowControl w:val="0"/>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八、你单位在接</w:t>
      </w:r>
      <w:bookmarkStart w:id="0" w:name="_GoBack"/>
      <w:bookmarkEnd w:id="0"/>
      <w:r>
        <w:rPr>
          <w:rFonts w:hint="eastAsia" w:ascii="仿宋_GB2312" w:hAnsi="仿宋_GB2312" w:eastAsia="仿宋_GB2312" w:cs="仿宋_GB2312"/>
          <w:spacing w:val="-6"/>
          <w:sz w:val="32"/>
          <w:szCs w:val="32"/>
        </w:rPr>
        <w:t>到本批复后的10个工作日内，须将环评报告表及其批复送秦皇岛市生态环境局</w:t>
      </w:r>
      <w:r>
        <w:rPr>
          <w:rFonts w:hint="eastAsia" w:ascii="仿宋_GB2312" w:hAnsi="仿宋_GB2312" w:eastAsia="仿宋_GB2312" w:cs="仿宋_GB2312"/>
          <w:spacing w:val="-6"/>
          <w:sz w:val="32"/>
          <w:szCs w:val="32"/>
          <w:lang w:eastAsia="zh-CN"/>
        </w:rPr>
        <w:t>卢龙县分局</w:t>
      </w:r>
      <w:r>
        <w:rPr>
          <w:rFonts w:hint="eastAsia" w:ascii="仿宋_GB2312" w:hAnsi="仿宋_GB2312" w:eastAsia="仿宋_GB2312" w:cs="仿宋_GB2312"/>
          <w:spacing w:val="-6"/>
          <w:sz w:val="32"/>
          <w:szCs w:val="32"/>
        </w:rPr>
        <w:t>等相关部门，日常监督管理由秦皇岛市生态环境局</w:t>
      </w:r>
      <w:r>
        <w:rPr>
          <w:rFonts w:hint="eastAsia" w:ascii="仿宋_GB2312" w:hAnsi="仿宋_GB2312" w:eastAsia="仿宋_GB2312" w:cs="仿宋_GB2312"/>
          <w:spacing w:val="-6"/>
          <w:sz w:val="32"/>
          <w:szCs w:val="32"/>
          <w:lang w:eastAsia="zh-CN"/>
        </w:rPr>
        <w:t>卢龙县分局</w:t>
      </w:r>
      <w:r>
        <w:rPr>
          <w:rFonts w:hint="eastAsia" w:ascii="仿宋_GB2312" w:hAnsi="仿宋_GB2312" w:eastAsia="仿宋_GB2312" w:cs="仿宋_GB2312"/>
          <w:spacing w:val="-6"/>
          <w:sz w:val="32"/>
          <w:szCs w:val="32"/>
        </w:rPr>
        <w:t>负责。建设单位须定期向秦皇岛市生态环境局</w:t>
      </w:r>
      <w:r>
        <w:rPr>
          <w:rFonts w:hint="eastAsia" w:ascii="仿宋_GB2312" w:hAnsi="仿宋_GB2312" w:eastAsia="仿宋_GB2312" w:cs="仿宋_GB2312"/>
          <w:spacing w:val="-6"/>
          <w:sz w:val="32"/>
          <w:szCs w:val="32"/>
          <w:lang w:eastAsia="zh-CN"/>
        </w:rPr>
        <w:t>卢龙县分局</w:t>
      </w:r>
      <w:r>
        <w:rPr>
          <w:rFonts w:hint="eastAsia" w:ascii="仿宋_GB2312" w:hAnsi="仿宋_GB2312" w:eastAsia="仿宋_GB2312" w:cs="仿宋_GB2312"/>
          <w:spacing w:val="-6"/>
          <w:sz w:val="32"/>
          <w:szCs w:val="32"/>
        </w:rPr>
        <w:t xml:space="preserve">报告“三同时”完成情况。并按规定接受各级生态环境行政主管部门的日常监督检查。 </w:t>
      </w:r>
    </w:p>
    <w:p w14:paraId="08A2D364">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p>
    <w:p w14:paraId="335D2B20">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 xml:space="preserve">  秦皇岛市行政审批局</w:t>
      </w:r>
      <w:r>
        <w:rPr>
          <w:rFonts w:hint="eastAsia" w:ascii="仿宋_GB2312" w:hAnsi="仿宋_GB2312" w:eastAsia="仿宋_GB2312" w:cs="仿宋_GB2312"/>
          <w:spacing w:val="-6"/>
          <w:sz w:val="32"/>
          <w:szCs w:val="32"/>
          <w:lang w:val="en-US" w:eastAsia="zh-CN"/>
        </w:rPr>
        <w:t xml:space="preserve">        </w:t>
      </w:r>
    </w:p>
    <w:p w14:paraId="3A112DEF">
      <w:pPr>
        <w:keepNext w:val="0"/>
        <w:keepLines w:val="0"/>
        <w:pageBreakBefore w:val="0"/>
        <w:widowControl w:val="0"/>
        <w:kinsoku/>
        <w:wordWrap w:val="0"/>
        <w:overflowPunct/>
        <w:topLinePunct w:val="0"/>
        <w:autoSpaceDE/>
        <w:autoSpaceDN/>
        <w:bidi w:val="0"/>
        <w:adjustRightInd w:val="0"/>
        <w:snapToGrid w:val="0"/>
        <w:spacing w:line="560" w:lineRule="exact"/>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eastAsia="zh-CN"/>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17</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pacing w:val="-6"/>
          <w:sz w:val="32"/>
          <w:szCs w:val="32"/>
          <w:lang w:val="en-US" w:eastAsia="zh-CN"/>
        </w:rPr>
        <w:t xml:space="preserve">         </w:t>
      </w: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AB9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202D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9202DF">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mQwZDlkNmViYjQ2ZmZiMDlmZTkwZjUyNWZlNjAifQ=="/>
  </w:docVars>
  <w:rsids>
    <w:rsidRoot w:val="00534647"/>
    <w:rsid w:val="001A64C4"/>
    <w:rsid w:val="001D5FB4"/>
    <w:rsid w:val="00534647"/>
    <w:rsid w:val="006F6E45"/>
    <w:rsid w:val="007E0A00"/>
    <w:rsid w:val="00ED3BD8"/>
    <w:rsid w:val="00FF0D8C"/>
    <w:rsid w:val="01D628BE"/>
    <w:rsid w:val="02533DCA"/>
    <w:rsid w:val="026C13BF"/>
    <w:rsid w:val="047D0429"/>
    <w:rsid w:val="049F51EA"/>
    <w:rsid w:val="05070CB7"/>
    <w:rsid w:val="05F4418C"/>
    <w:rsid w:val="069145C1"/>
    <w:rsid w:val="08251D3B"/>
    <w:rsid w:val="082C51BD"/>
    <w:rsid w:val="09A74B9B"/>
    <w:rsid w:val="09DD006C"/>
    <w:rsid w:val="0A7C0FBB"/>
    <w:rsid w:val="0AA6765B"/>
    <w:rsid w:val="0AF97CC1"/>
    <w:rsid w:val="0C240EFB"/>
    <w:rsid w:val="0C9E3111"/>
    <w:rsid w:val="0CF74903"/>
    <w:rsid w:val="0DB60FD4"/>
    <w:rsid w:val="0E23319F"/>
    <w:rsid w:val="0E236322"/>
    <w:rsid w:val="0E423DBB"/>
    <w:rsid w:val="0E477FDC"/>
    <w:rsid w:val="0E52277A"/>
    <w:rsid w:val="0E544884"/>
    <w:rsid w:val="0E9A6529"/>
    <w:rsid w:val="0EF16B1E"/>
    <w:rsid w:val="0F12721D"/>
    <w:rsid w:val="0F243ABA"/>
    <w:rsid w:val="0F4E7F38"/>
    <w:rsid w:val="0FD75461"/>
    <w:rsid w:val="11047D69"/>
    <w:rsid w:val="116A6B7F"/>
    <w:rsid w:val="11891052"/>
    <w:rsid w:val="11B64EE8"/>
    <w:rsid w:val="11DF3773"/>
    <w:rsid w:val="12B56FA8"/>
    <w:rsid w:val="134F78C3"/>
    <w:rsid w:val="15FFA5B8"/>
    <w:rsid w:val="16B259FD"/>
    <w:rsid w:val="16FE7E29"/>
    <w:rsid w:val="16FFAFAE"/>
    <w:rsid w:val="17B00A83"/>
    <w:rsid w:val="18EDE22F"/>
    <w:rsid w:val="19807918"/>
    <w:rsid w:val="19C76AA2"/>
    <w:rsid w:val="1A0C2EC9"/>
    <w:rsid w:val="1A34036B"/>
    <w:rsid w:val="1ABB2361"/>
    <w:rsid w:val="1B6F1962"/>
    <w:rsid w:val="1BE5119A"/>
    <w:rsid w:val="1DB05E93"/>
    <w:rsid w:val="1DE2526D"/>
    <w:rsid w:val="1EBB4A4B"/>
    <w:rsid w:val="1EE917E9"/>
    <w:rsid w:val="1F9A3113"/>
    <w:rsid w:val="1FB32933"/>
    <w:rsid w:val="1FFD7A61"/>
    <w:rsid w:val="211E5769"/>
    <w:rsid w:val="212033CF"/>
    <w:rsid w:val="213E1E2E"/>
    <w:rsid w:val="21487774"/>
    <w:rsid w:val="220B1CB9"/>
    <w:rsid w:val="22186EB3"/>
    <w:rsid w:val="22712A2C"/>
    <w:rsid w:val="23637A73"/>
    <w:rsid w:val="23E0603F"/>
    <w:rsid w:val="23F41535"/>
    <w:rsid w:val="24333E8B"/>
    <w:rsid w:val="24496731"/>
    <w:rsid w:val="24822F7E"/>
    <w:rsid w:val="24E07A09"/>
    <w:rsid w:val="253245CF"/>
    <w:rsid w:val="25481967"/>
    <w:rsid w:val="25913DA1"/>
    <w:rsid w:val="26372BA9"/>
    <w:rsid w:val="26452102"/>
    <w:rsid w:val="268C5900"/>
    <w:rsid w:val="26D3084E"/>
    <w:rsid w:val="26D853C8"/>
    <w:rsid w:val="26DA5337"/>
    <w:rsid w:val="277B343D"/>
    <w:rsid w:val="284F12A1"/>
    <w:rsid w:val="290C1FD9"/>
    <w:rsid w:val="2A6A527B"/>
    <w:rsid w:val="2A6E5785"/>
    <w:rsid w:val="2A720FDA"/>
    <w:rsid w:val="2B35714B"/>
    <w:rsid w:val="2B651583"/>
    <w:rsid w:val="2B982842"/>
    <w:rsid w:val="2BA73E61"/>
    <w:rsid w:val="2BAFC89E"/>
    <w:rsid w:val="2BCB4FD1"/>
    <w:rsid w:val="2CAF5097"/>
    <w:rsid w:val="2CDB74AF"/>
    <w:rsid w:val="2CEC5C32"/>
    <w:rsid w:val="2CED5224"/>
    <w:rsid w:val="2DAF126F"/>
    <w:rsid w:val="2E290EE4"/>
    <w:rsid w:val="2E7C66DE"/>
    <w:rsid w:val="2F3B7A37"/>
    <w:rsid w:val="31061FC9"/>
    <w:rsid w:val="31327A6C"/>
    <w:rsid w:val="313D44EF"/>
    <w:rsid w:val="317A4765"/>
    <w:rsid w:val="31A86955"/>
    <w:rsid w:val="31AF3D3F"/>
    <w:rsid w:val="328D0DB0"/>
    <w:rsid w:val="33135D31"/>
    <w:rsid w:val="335C6818"/>
    <w:rsid w:val="336EA4DC"/>
    <w:rsid w:val="33824DF5"/>
    <w:rsid w:val="34185F28"/>
    <w:rsid w:val="344158C2"/>
    <w:rsid w:val="347C50C9"/>
    <w:rsid w:val="348B41CA"/>
    <w:rsid w:val="35531E0D"/>
    <w:rsid w:val="357B4603"/>
    <w:rsid w:val="35AB75E3"/>
    <w:rsid w:val="35D70A87"/>
    <w:rsid w:val="36644422"/>
    <w:rsid w:val="374D153F"/>
    <w:rsid w:val="37F9E04E"/>
    <w:rsid w:val="38807677"/>
    <w:rsid w:val="38ED4A8D"/>
    <w:rsid w:val="39D74A49"/>
    <w:rsid w:val="3A0831CA"/>
    <w:rsid w:val="3A5A3B4E"/>
    <w:rsid w:val="3BBF2232"/>
    <w:rsid w:val="3BF2360E"/>
    <w:rsid w:val="3BFF7C85"/>
    <w:rsid w:val="3C4F8EC4"/>
    <w:rsid w:val="3C624B38"/>
    <w:rsid w:val="3C8DE232"/>
    <w:rsid w:val="3D412847"/>
    <w:rsid w:val="3D4E0F7F"/>
    <w:rsid w:val="3D5B4C61"/>
    <w:rsid w:val="3D620756"/>
    <w:rsid w:val="3D715C36"/>
    <w:rsid w:val="3D95C1D4"/>
    <w:rsid w:val="3DCDD9CC"/>
    <w:rsid w:val="3DEB59B9"/>
    <w:rsid w:val="3DFFC262"/>
    <w:rsid w:val="3EBB9D42"/>
    <w:rsid w:val="3EDA434E"/>
    <w:rsid w:val="3EFF450E"/>
    <w:rsid w:val="3F7FC6D0"/>
    <w:rsid w:val="3FC755E4"/>
    <w:rsid w:val="402537B3"/>
    <w:rsid w:val="40E5668D"/>
    <w:rsid w:val="413B7A6D"/>
    <w:rsid w:val="414D77A0"/>
    <w:rsid w:val="415E6EB8"/>
    <w:rsid w:val="437B0F37"/>
    <w:rsid w:val="43A144D7"/>
    <w:rsid w:val="441F65D2"/>
    <w:rsid w:val="45ED32A4"/>
    <w:rsid w:val="45FC4AF3"/>
    <w:rsid w:val="462F55E2"/>
    <w:rsid w:val="46F770C6"/>
    <w:rsid w:val="47AC3472"/>
    <w:rsid w:val="47F0551D"/>
    <w:rsid w:val="485909E1"/>
    <w:rsid w:val="495443BF"/>
    <w:rsid w:val="4961192A"/>
    <w:rsid w:val="497A7BA2"/>
    <w:rsid w:val="4A0805EA"/>
    <w:rsid w:val="4A9B0782"/>
    <w:rsid w:val="4AB62107"/>
    <w:rsid w:val="4AFCFE52"/>
    <w:rsid w:val="4B4355E5"/>
    <w:rsid w:val="4B514EDA"/>
    <w:rsid w:val="4B765E80"/>
    <w:rsid w:val="4BDC1E4C"/>
    <w:rsid w:val="4C767AF2"/>
    <w:rsid w:val="4C8229F4"/>
    <w:rsid w:val="4D010EEB"/>
    <w:rsid w:val="4E005194"/>
    <w:rsid w:val="4F1B43CA"/>
    <w:rsid w:val="4F4A365C"/>
    <w:rsid w:val="4F7505EE"/>
    <w:rsid w:val="4FBF9426"/>
    <w:rsid w:val="4FC43655"/>
    <w:rsid w:val="4FD729F9"/>
    <w:rsid w:val="51F46A5E"/>
    <w:rsid w:val="52500E9E"/>
    <w:rsid w:val="52BE6086"/>
    <w:rsid w:val="52E60454"/>
    <w:rsid w:val="52F277D3"/>
    <w:rsid w:val="53183CF5"/>
    <w:rsid w:val="53650405"/>
    <w:rsid w:val="54A47AA0"/>
    <w:rsid w:val="54F95B8E"/>
    <w:rsid w:val="55111814"/>
    <w:rsid w:val="5612099E"/>
    <w:rsid w:val="56950707"/>
    <w:rsid w:val="56AED9A3"/>
    <w:rsid w:val="56FEEBAA"/>
    <w:rsid w:val="57D7B5B5"/>
    <w:rsid w:val="57DA211C"/>
    <w:rsid w:val="58040325"/>
    <w:rsid w:val="5886351F"/>
    <w:rsid w:val="58DC437F"/>
    <w:rsid w:val="590E0E11"/>
    <w:rsid w:val="596D0588"/>
    <w:rsid w:val="59B7197C"/>
    <w:rsid w:val="5A22466C"/>
    <w:rsid w:val="5A726CD4"/>
    <w:rsid w:val="5A9C6788"/>
    <w:rsid w:val="5AE9060E"/>
    <w:rsid w:val="5AEF02A4"/>
    <w:rsid w:val="5B314F17"/>
    <w:rsid w:val="5B7EE503"/>
    <w:rsid w:val="5BFA3674"/>
    <w:rsid w:val="5CFB6015"/>
    <w:rsid w:val="5DD15318"/>
    <w:rsid w:val="5EBB44B3"/>
    <w:rsid w:val="5ED708A2"/>
    <w:rsid w:val="5EE4D61D"/>
    <w:rsid w:val="5EFF4359"/>
    <w:rsid w:val="5F5FC2DB"/>
    <w:rsid w:val="5F877DE6"/>
    <w:rsid w:val="5FA728A7"/>
    <w:rsid w:val="5FE78402"/>
    <w:rsid w:val="5FE9456F"/>
    <w:rsid w:val="5FFE9189"/>
    <w:rsid w:val="60B8658C"/>
    <w:rsid w:val="60BA0556"/>
    <w:rsid w:val="60DB398B"/>
    <w:rsid w:val="616B4469"/>
    <w:rsid w:val="617DF742"/>
    <w:rsid w:val="623213C3"/>
    <w:rsid w:val="62AA67D1"/>
    <w:rsid w:val="62AB08DD"/>
    <w:rsid w:val="62B4457F"/>
    <w:rsid w:val="62F12229"/>
    <w:rsid w:val="63991244"/>
    <w:rsid w:val="63B4F1C4"/>
    <w:rsid w:val="65A5045A"/>
    <w:rsid w:val="65BD2875"/>
    <w:rsid w:val="66892A14"/>
    <w:rsid w:val="66A76F78"/>
    <w:rsid w:val="672B1033"/>
    <w:rsid w:val="67D84A3A"/>
    <w:rsid w:val="68E32EF1"/>
    <w:rsid w:val="695609FE"/>
    <w:rsid w:val="697338B5"/>
    <w:rsid w:val="6991083D"/>
    <w:rsid w:val="6A0018D3"/>
    <w:rsid w:val="6A3A1E22"/>
    <w:rsid w:val="6ACA5340"/>
    <w:rsid w:val="6AFBE2FD"/>
    <w:rsid w:val="6B1336CA"/>
    <w:rsid w:val="6B601CFA"/>
    <w:rsid w:val="6B77B31C"/>
    <w:rsid w:val="6BF1C962"/>
    <w:rsid w:val="6BF6F70B"/>
    <w:rsid w:val="6C4F3886"/>
    <w:rsid w:val="6D590A27"/>
    <w:rsid w:val="6D953FD0"/>
    <w:rsid w:val="6DBD50C2"/>
    <w:rsid w:val="6DEFBE8D"/>
    <w:rsid w:val="6DF6EE5D"/>
    <w:rsid w:val="6E6FFD58"/>
    <w:rsid w:val="6E972B5D"/>
    <w:rsid w:val="6FA92E43"/>
    <w:rsid w:val="6FCF3AFF"/>
    <w:rsid w:val="6FDFB749"/>
    <w:rsid w:val="6FFA6EFF"/>
    <w:rsid w:val="6FFF02D3"/>
    <w:rsid w:val="6FFF9A75"/>
    <w:rsid w:val="6FFFD07D"/>
    <w:rsid w:val="701336AB"/>
    <w:rsid w:val="702B15B8"/>
    <w:rsid w:val="730F4AE2"/>
    <w:rsid w:val="73426669"/>
    <w:rsid w:val="736875DA"/>
    <w:rsid w:val="736E6677"/>
    <w:rsid w:val="738B4EA6"/>
    <w:rsid w:val="73F9F200"/>
    <w:rsid w:val="743B1A18"/>
    <w:rsid w:val="74AD223F"/>
    <w:rsid w:val="74DE7F3D"/>
    <w:rsid w:val="74F769B5"/>
    <w:rsid w:val="759DF21F"/>
    <w:rsid w:val="767F4FE6"/>
    <w:rsid w:val="76C21ABB"/>
    <w:rsid w:val="76C4DCB4"/>
    <w:rsid w:val="76E75AA9"/>
    <w:rsid w:val="77639741"/>
    <w:rsid w:val="777DDBFA"/>
    <w:rsid w:val="779E4CF7"/>
    <w:rsid w:val="77B76890"/>
    <w:rsid w:val="77FEA771"/>
    <w:rsid w:val="77FFCAF9"/>
    <w:rsid w:val="780523AE"/>
    <w:rsid w:val="78A41665"/>
    <w:rsid w:val="78D120BF"/>
    <w:rsid w:val="7A4C55E3"/>
    <w:rsid w:val="7A53410C"/>
    <w:rsid w:val="7A577472"/>
    <w:rsid w:val="7A9279F6"/>
    <w:rsid w:val="7A9B2B0F"/>
    <w:rsid w:val="7ADD4C29"/>
    <w:rsid w:val="7AFE2822"/>
    <w:rsid w:val="7B7C2B32"/>
    <w:rsid w:val="7B9A1470"/>
    <w:rsid w:val="7BEE3D32"/>
    <w:rsid w:val="7BF59FBC"/>
    <w:rsid w:val="7CA76A30"/>
    <w:rsid w:val="7CBF2C38"/>
    <w:rsid w:val="7D5F4119"/>
    <w:rsid w:val="7D776F44"/>
    <w:rsid w:val="7D7BA38E"/>
    <w:rsid w:val="7D8459A1"/>
    <w:rsid w:val="7DCF8524"/>
    <w:rsid w:val="7DDF0D63"/>
    <w:rsid w:val="7E0FB349"/>
    <w:rsid w:val="7E53808C"/>
    <w:rsid w:val="7EA7853F"/>
    <w:rsid w:val="7ED246D9"/>
    <w:rsid w:val="7EDB1951"/>
    <w:rsid w:val="7EE9F22B"/>
    <w:rsid w:val="7EFE0109"/>
    <w:rsid w:val="7EFF68B1"/>
    <w:rsid w:val="7F294417"/>
    <w:rsid w:val="7F3D240F"/>
    <w:rsid w:val="7F614E20"/>
    <w:rsid w:val="7F6F5A1B"/>
    <w:rsid w:val="7F753E9A"/>
    <w:rsid w:val="7F7E550E"/>
    <w:rsid w:val="7FB7439F"/>
    <w:rsid w:val="7FBF7C51"/>
    <w:rsid w:val="7FD6A27B"/>
    <w:rsid w:val="7FEDA862"/>
    <w:rsid w:val="7FF7817D"/>
    <w:rsid w:val="7FFD5D18"/>
    <w:rsid w:val="7FFD93AA"/>
    <w:rsid w:val="7FFE5E77"/>
    <w:rsid w:val="7FFE63C7"/>
    <w:rsid w:val="8AE3D017"/>
    <w:rsid w:val="93BFFE25"/>
    <w:rsid w:val="93DE4D53"/>
    <w:rsid w:val="97EA1E6D"/>
    <w:rsid w:val="97EF0570"/>
    <w:rsid w:val="9EBE6894"/>
    <w:rsid w:val="A7FE46DD"/>
    <w:rsid w:val="ADE1CE1F"/>
    <w:rsid w:val="AFEFD635"/>
    <w:rsid w:val="B2FF2882"/>
    <w:rsid w:val="B67E1F6E"/>
    <w:rsid w:val="B6C51A8E"/>
    <w:rsid w:val="B71EE1DE"/>
    <w:rsid w:val="B77E0A94"/>
    <w:rsid w:val="BADF173F"/>
    <w:rsid w:val="BBEF4A7A"/>
    <w:rsid w:val="BC7F42EB"/>
    <w:rsid w:val="BD760178"/>
    <w:rsid w:val="BD9B4B70"/>
    <w:rsid w:val="BDFA148F"/>
    <w:rsid w:val="BDFDB831"/>
    <w:rsid w:val="BE1DD3DB"/>
    <w:rsid w:val="BFBD08A6"/>
    <w:rsid w:val="BFCC1B63"/>
    <w:rsid w:val="BFF3702B"/>
    <w:rsid w:val="BFF6C44B"/>
    <w:rsid w:val="BFFB8F7B"/>
    <w:rsid w:val="BFFBE771"/>
    <w:rsid w:val="BFFFFC04"/>
    <w:rsid w:val="C87D361C"/>
    <w:rsid w:val="CFBF8861"/>
    <w:rsid w:val="CFFD4A5A"/>
    <w:rsid w:val="D57FEA81"/>
    <w:rsid w:val="D5BF14D1"/>
    <w:rsid w:val="D7EF9121"/>
    <w:rsid w:val="D7F75EDB"/>
    <w:rsid w:val="D7F785F4"/>
    <w:rsid w:val="D97C0045"/>
    <w:rsid w:val="DAED3199"/>
    <w:rsid w:val="DAFD0D04"/>
    <w:rsid w:val="DBE5F7EA"/>
    <w:rsid w:val="DDED9019"/>
    <w:rsid w:val="DDEF3D90"/>
    <w:rsid w:val="DE1F313A"/>
    <w:rsid w:val="DEB62BC2"/>
    <w:rsid w:val="DEEDE229"/>
    <w:rsid w:val="DEFF3227"/>
    <w:rsid w:val="DF9F197B"/>
    <w:rsid w:val="DFDBDF0B"/>
    <w:rsid w:val="DFEDBDD6"/>
    <w:rsid w:val="DFF9D15B"/>
    <w:rsid w:val="DFFBB3EC"/>
    <w:rsid w:val="E0EF55D7"/>
    <w:rsid w:val="E5CE60C7"/>
    <w:rsid w:val="E6BFB65F"/>
    <w:rsid w:val="E92CFF77"/>
    <w:rsid w:val="E938D12A"/>
    <w:rsid w:val="EA95107E"/>
    <w:rsid w:val="EA9FADB6"/>
    <w:rsid w:val="EBABD82E"/>
    <w:rsid w:val="EBBA1790"/>
    <w:rsid w:val="EEEF6478"/>
    <w:rsid w:val="EFBFE229"/>
    <w:rsid w:val="EFFBF998"/>
    <w:rsid w:val="EFFF7259"/>
    <w:rsid w:val="F175C4DB"/>
    <w:rsid w:val="F2F2EE95"/>
    <w:rsid w:val="F58F4004"/>
    <w:rsid w:val="F69D31A6"/>
    <w:rsid w:val="F6EF7FC9"/>
    <w:rsid w:val="F77E3BE2"/>
    <w:rsid w:val="F7A95DB0"/>
    <w:rsid w:val="F7AF9FCD"/>
    <w:rsid w:val="F7B3205D"/>
    <w:rsid w:val="F7B72858"/>
    <w:rsid w:val="FA676C91"/>
    <w:rsid w:val="FB718D57"/>
    <w:rsid w:val="FBEF2C16"/>
    <w:rsid w:val="FBEFD815"/>
    <w:rsid w:val="FCBFABA4"/>
    <w:rsid w:val="FCFE9610"/>
    <w:rsid w:val="FD2BCAA4"/>
    <w:rsid w:val="FD8BC96D"/>
    <w:rsid w:val="FDAB0972"/>
    <w:rsid w:val="FDBE76F7"/>
    <w:rsid w:val="FDDF783E"/>
    <w:rsid w:val="FDEB7BD9"/>
    <w:rsid w:val="FDFF482D"/>
    <w:rsid w:val="FE7D9B7A"/>
    <w:rsid w:val="FE971EC6"/>
    <w:rsid w:val="FEBF7CC7"/>
    <w:rsid w:val="FEBFBB84"/>
    <w:rsid w:val="FF53F2E3"/>
    <w:rsid w:val="FF6FB73B"/>
    <w:rsid w:val="FF7E06D1"/>
    <w:rsid w:val="FF8F2C32"/>
    <w:rsid w:val="FFABAAB9"/>
    <w:rsid w:val="FFBBA604"/>
    <w:rsid w:val="FFBE428E"/>
    <w:rsid w:val="FFD89AE5"/>
    <w:rsid w:val="FFEF790A"/>
    <w:rsid w:val="FFEFFE6A"/>
    <w:rsid w:val="FFF523DA"/>
    <w:rsid w:val="FFF7D625"/>
    <w:rsid w:val="FFFBB72D"/>
    <w:rsid w:val="FFFF8961"/>
    <w:rsid w:val="FFFFB764"/>
    <w:rsid w:val="FFFFE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spacing w:line="500" w:lineRule="exact"/>
      <w:outlineLvl w:val="3"/>
    </w:pPr>
    <w:rPr>
      <w:rFonts w:ascii="Arial" w:hAnsi="Arial" w:cs="宋体"/>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3"/>
    <w:qFormat/>
    <w:uiPriority w:val="0"/>
    <w:pPr>
      <w:adjustRightInd w:val="0"/>
      <w:snapToGrid w:val="0"/>
      <w:spacing w:line="360" w:lineRule="auto"/>
    </w:pPr>
    <w:rPr>
      <w:sz w:val="24"/>
    </w:rPr>
  </w:style>
  <w:style w:type="paragraph" w:styleId="5">
    <w:name w:val="Body Text"/>
    <w:basedOn w:val="1"/>
    <w:next w:val="6"/>
    <w:qFormat/>
    <w:uiPriority w:val="0"/>
    <w:pPr>
      <w:spacing w:line="240" w:lineRule="atLeast"/>
    </w:pPr>
    <w:rPr>
      <w:sz w:val="28"/>
    </w:rPr>
  </w:style>
  <w:style w:type="paragraph" w:customStyle="1" w:styleId="6">
    <w:name w:val="默认段落"/>
    <w:qFormat/>
    <w:uiPriority w:val="0"/>
    <w:pPr>
      <w:widowControl w:val="0"/>
      <w:jc w:val="both"/>
    </w:pPr>
    <w:rPr>
      <w:rFonts w:ascii="Calibri" w:hAnsi="Calibri" w:eastAsia="宋体" w:cs="Times New Roman"/>
      <w:kern w:val="2"/>
      <w:sz w:val="21"/>
      <w:lang w:val="en-US" w:eastAsia="zh-CN" w:bidi="ar-SA"/>
    </w:rPr>
  </w:style>
  <w:style w:type="paragraph" w:styleId="7">
    <w:name w:val="Balloon Text"/>
    <w:basedOn w:val="1"/>
    <w:semiHidden/>
    <w:qFormat/>
    <w:uiPriority w:val="0"/>
    <w:rPr>
      <w:kern w:val="0"/>
      <w:sz w:val="18"/>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adjustRightInd w:val="0"/>
      <w:snapToGrid w:val="0"/>
      <w:spacing w:line="280" w:lineRule="exact"/>
      <w:jc w:val="center"/>
    </w:pPr>
    <w:rPr>
      <w:sz w:val="24"/>
      <w:szCs w:val="20"/>
    </w:rPr>
  </w:style>
  <w:style w:type="paragraph" w:styleId="11">
    <w:name w:val="Body Text First Indent"/>
    <w:basedOn w:val="5"/>
    <w:qFormat/>
    <w:uiPriority w:val="0"/>
    <w:pPr>
      <w:spacing w:after="120"/>
      <w:ind w:firstLine="420" w:firstLineChars="100"/>
    </w:pPr>
    <w:rPr>
      <w:sz w:val="21"/>
      <w:szCs w:val="24"/>
    </w:rPr>
  </w:style>
  <w:style w:type="character" w:styleId="14">
    <w:name w:val="FollowedHyperlink"/>
    <w:basedOn w:val="13"/>
    <w:semiHidden/>
    <w:unhideWhenUsed/>
    <w:qFormat/>
    <w:uiPriority w:val="99"/>
    <w:rPr>
      <w:color w:val="000000"/>
      <w:u w:val="none"/>
    </w:rPr>
  </w:style>
  <w:style w:type="character" w:styleId="15">
    <w:name w:val="Emphasis"/>
    <w:basedOn w:val="13"/>
    <w:qFormat/>
    <w:uiPriority w:val="20"/>
  </w:style>
  <w:style w:type="character" w:styleId="16">
    <w:name w:val="Hyperlink"/>
    <w:basedOn w:val="13"/>
    <w:semiHidden/>
    <w:unhideWhenUsed/>
    <w:qFormat/>
    <w:uiPriority w:val="99"/>
    <w:rPr>
      <w:color w:val="000000"/>
      <w:u w:val="none"/>
    </w:rPr>
  </w:style>
  <w:style w:type="paragraph" w:customStyle="1" w:styleId="17">
    <w:name w:val="Default"/>
    <w:basedOn w:val="18"/>
    <w:qFormat/>
    <w:uiPriority w:val="0"/>
    <w:pPr>
      <w:widowControl w:val="0"/>
      <w:autoSpaceDE w:val="0"/>
      <w:autoSpaceDN w:val="0"/>
      <w:adjustRightInd w:val="0"/>
    </w:pPr>
    <w:rPr>
      <w:color w:val="000000"/>
      <w:sz w:val="24"/>
      <w:szCs w:val="24"/>
      <w:lang w:val="en-US" w:eastAsia="zh-CN" w:bidi="ar-SA"/>
    </w:rPr>
  </w:style>
  <w:style w:type="paragraph" w:customStyle="1" w:styleId="18">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19">
    <w:name w:val="NormalCharacter"/>
    <w:qFormat/>
    <w:uiPriority w:val="0"/>
    <w:rPr>
      <w:rFonts w:ascii="Times New Roman" w:hAnsi="Times New Roman" w:eastAsia="宋体"/>
    </w:rPr>
  </w:style>
  <w:style w:type="character" w:customStyle="1" w:styleId="20">
    <w:name w:val="cur1"/>
    <w:basedOn w:val="13"/>
    <w:qFormat/>
    <w:uiPriority w:val="0"/>
    <w:rPr>
      <w:color w:val="FFFFFF"/>
      <w:shd w:val="clear" w:fill="2F6B98"/>
    </w:rPr>
  </w:style>
  <w:style w:type="character" w:customStyle="1" w:styleId="21">
    <w:name w:val="znspantitle"/>
    <w:basedOn w:val="13"/>
    <w:qFormat/>
    <w:uiPriority w:val="0"/>
    <w:rPr>
      <w:b/>
      <w:bCs/>
      <w:color w:val="333333"/>
    </w:rPr>
  </w:style>
  <w:style w:type="character" w:customStyle="1" w:styleId="22">
    <w:name w:val="lable"/>
    <w:basedOn w:val="13"/>
    <w:qFormat/>
    <w:uiPriority w:val="0"/>
    <w:rPr>
      <w:sz w:val="24"/>
      <w:szCs w:val="24"/>
    </w:rPr>
  </w:style>
  <w:style w:type="character" w:customStyle="1" w:styleId="23">
    <w:name w:val="lishishuju"/>
    <w:basedOn w:val="13"/>
    <w:qFormat/>
    <w:uiPriority w:val="0"/>
    <w:rPr>
      <w:b/>
      <w:bCs/>
      <w:color w:val="000052"/>
      <w:sz w:val="24"/>
      <w:szCs w:val="24"/>
      <w:bdr w:val="single" w:color="E3E3E3" w:sz="6" w:space="0"/>
    </w:rPr>
  </w:style>
  <w:style w:type="character" w:customStyle="1" w:styleId="24">
    <w:name w:val="radio-btn"/>
    <w:basedOn w:val="13"/>
    <w:qFormat/>
    <w:uiPriority w:val="0"/>
    <w:rPr>
      <w:sz w:val="24"/>
      <w:szCs w:val="24"/>
    </w:rPr>
  </w:style>
  <w:style w:type="character" w:customStyle="1" w:styleId="25">
    <w:name w:val="radio-btn1"/>
    <w:basedOn w:val="13"/>
    <w:qFormat/>
    <w:uiPriority w:val="0"/>
    <w:rPr>
      <w:sz w:val="24"/>
      <w:szCs w:val="24"/>
    </w:rPr>
  </w:style>
  <w:style w:type="character" w:customStyle="1" w:styleId="26">
    <w:name w:val="radio-btn2"/>
    <w:basedOn w:val="13"/>
    <w:qFormat/>
    <w:uiPriority w:val="0"/>
    <w:rPr>
      <w:sz w:val="24"/>
      <w:szCs w:val="24"/>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2817</Words>
  <Characters>2978</Characters>
  <Lines>24</Lines>
  <Paragraphs>6</Paragraphs>
  <TotalTime>40</TotalTime>
  <ScaleCrop>false</ScaleCrop>
  <LinksUpToDate>false</LinksUpToDate>
  <CharactersWithSpaces>3030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2021-04-04T09:03:00Z</dcterms:created>
  <dc:creator>w's'd</dc:creator>
  <cp:lastModifiedBy>administrator</cp:lastModifiedBy>
  <cp:lastPrinted>2026-03-21T15:23:00Z</cp:lastPrinted>
  <dcterms:modified xsi:type="dcterms:W3CDTF">2026-04-17T09:44:35Z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17F4C015B60BCF17A85BDC69476067C4_43</vt:lpwstr>
  </property>
</Properties>
</file>