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470E5">
      <w:pPr>
        <w:spacing w:line="760" w:lineRule="exact"/>
        <w:rPr>
          <w:rFonts w:ascii="Times New Roman" w:hAnsi="Times New Roman" w:cs="宋体"/>
          <w:color w:val="000000"/>
          <w:sz w:val="32"/>
          <w:szCs w:val="32"/>
        </w:rPr>
      </w:pPr>
    </w:p>
    <w:p w14:paraId="4AD368A3">
      <w:pPr>
        <w:wordWrap w:val="0"/>
        <w:spacing w:line="700" w:lineRule="exact"/>
        <w:jc w:val="right"/>
        <w:rPr>
          <w:rFonts w:ascii="Times New Roman" w:hAnsi="Times New Roman" w:eastAsia="仿宋_GB2312" w:cs="宋体"/>
          <w:color w:val="000000"/>
          <w:sz w:val="32"/>
          <w:szCs w:val="32"/>
        </w:rPr>
      </w:pPr>
      <w:r>
        <w:rPr>
          <w:rFonts w:hint="eastAsia" w:ascii="Times New Roman" w:hAnsi="Times New Roman" w:eastAsia="仿宋_GB2312" w:cs="仿宋_GB2312"/>
          <w:color w:val="000000"/>
          <w:sz w:val="32"/>
          <w:szCs w:val="32"/>
        </w:rPr>
        <w:t xml:space="preserve"> </w:t>
      </w:r>
      <w:r>
        <w:rPr>
          <w:rFonts w:hint="eastAsia" w:ascii="仿宋_GB2312" w:hAnsi="Times New Roman" w:eastAsia="仿宋_GB2312" w:cs="仿宋_GB2312"/>
          <w:color w:val="000000"/>
          <w:sz w:val="32"/>
          <w:szCs w:val="32"/>
        </w:rPr>
        <w:t>秦审批环准许〔202</w:t>
      </w:r>
      <w:r>
        <w:rPr>
          <w:rFonts w:hint="eastAsia" w:ascii="仿宋_GB2312" w:hAnsi="Times New Roman" w:eastAsia="仿宋_GB2312" w:cs="仿宋_GB2312"/>
          <w:color w:val="000000"/>
          <w:sz w:val="32"/>
          <w:szCs w:val="32"/>
          <w:lang w:val="en-US" w:eastAsia="zh-CN"/>
        </w:rPr>
        <w:t>6</w:t>
      </w:r>
      <w:r>
        <w:rPr>
          <w:rFonts w:hint="eastAsia" w:ascii="仿宋_GB2312" w:hAnsi="Times New Roman" w:eastAsia="仿宋_GB2312" w:cs="仿宋_GB2312"/>
          <w:color w:val="000000"/>
          <w:sz w:val="32"/>
          <w:szCs w:val="32"/>
        </w:rPr>
        <w:t>〕11-00</w:t>
      </w:r>
      <w:r>
        <w:rPr>
          <w:rFonts w:hint="eastAsia" w:ascii="仿宋_GB2312" w:hAnsi="Times New Roman" w:eastAsia="仿宋_GB2312" w:cs="仿宋_GB2312"/>
          <w:color w:val="000000"/>
          <w:sz w:val="32"/>
          <w:szCs w:val="32"/>
          <w:lang w:val="en-US" w:eastAsia="zh-CN"/>
        </w:rPr>
        <w:t>04</w:t>
      </w:r>
      <w:r>
        <w:rPr>
          <w:rFonts w:hint="eastAsia" w:ascii="仿宋_GB2312" w:hAnsi="Times New Roman" w:eastAsia="仿宋_GB2312" w:cs="仿宋_GB2312"/>
          <w:color w:val="000000"/>
          <w:sz w:val="32"/>
          <w:szCs w:val="32"/>
        </w:rPr>
        <w:t>号</w:t>
      </w:r>
    </w:p>
    <w:p w14:paraId="53C0223C">
      <w:pPr>
        <w:keepNext w:val="0"/>
        <w:keepLines w:val="0"/>
        <w:pageBreakBefore w:val="0"/>
        <w:widowControl w:val="0"/>
        <w:kinsoku/>
        <w:wordWrap/>
        <w:overflowPunct/>
        <w:topLinePunct w:val="0"/>
        <w:autoSpaceDE/>
        <w:autoSpaceDN/>
        <w:adjustRightInd w:val="0"/>
        <w:snapToGrid w:val="0"/>
        <w:spacing w:line="660" w:lineRule="exact"/>
        <w:jc w:val="center"/>
        <w:rPr>
          <w:rFonts w:hint="eastAsia" w:ascii="方正小标宋简体" w:hAnsi="方正小标宋简体" w:eastAsia="方正小标宋简体" w:cs="方正小标宋简体"/>
          <w:b w:val="0"/>
          <w:bCs w:val="0"/>
          <w:color w:val="000000"/>
          <w:kern w:val="0"/>
          <w:sz w:val="44"/>
          <w:szCs w:val="44"/>
          <w:shd w:val="clear" w:color="auto" w:fill="FFFFFF"/>
        </w:rPr>
      </w:pPr>
      <w:bookmarkStart w:id="0" w:name="OLE_LINK2"/>
      <w:r>
        <w:rPr>
          <w:rFonts w:hint="eastAsia" w:ascii="方正小标宋简体" w:hAnsi="方正小标宋简体" w:eastAsia="方正小标宋简体" w:cs="方正小标宋简体"/>
          <w:b w:val="0"/>
          <w:bCs w:val="0"/>
          <w:snapToGrid w:val="0"/>
          <w:color w:val="000000"/>
          <w:kern w:val="0"/>
          <w:sz w:val="44"/>
          <w:szCs w:val="44"/>
          <w:shd w:val="clear" w:color="auto" w:fill="FFFFFF"/>
        </w:rPr>
        <w:t>关于</w:t>
      </w:r>
      <w:bookmarkStart w:id="1" w:name="_Hlk48493511"/>
      <w:r>
        <w:rPr>
          <w:rFonts w:hint="eastAsia" w:ascii="方正小标宋简体" w:hAnsi="方正小标宋简体" w:eastAsia="方正小标宋简体" w:cs="方正小标宋简体"/>
          <w:b w:val="0"/>
          <w:bCs w:val="0"/>
          <w:snapToGrid w:val="0"/>
          <w:color w:val="000000"/>
          <w:kern w:val="0"/>
          <w:sz w:val="44"/>
          <w:szCs w:val="44"/>
          <w:shd w:val="clear" w:color="auto" w:fill="FFFFFF"/>
        </w:rPr>
        <w:t>润电新能源(秦皇岛)有限公司《华润青龙二期50MW风力发电项目送出工程</w:t>
      </w:r>
      <w:r>
        <w:rPr>
          <w:rFonts w:hint="eastAsia" w:ascii="方正小标宋简体" w:hAnsi="方正小标宋简体" w:eastAsia="方正小标宋简体" w:cs="方正小标宋简体"/>
          <w:b w:val="0"/>
          <w:bCs w:val="0"/>
          <w:snapToGrid w:val="0"/>
          <w:color w:val="000000"/>
          <w:kern w:val="0"/>
          <w:sz w:val="44"/>
          <w:szCs w:val="44"/>
        </w:rPr>
        <w:t>环境影响报告表》</w:t>
      </w:r>
      <w:bookmarkEnd w:id="1"/>
      <w:r>
        <w:rPr>
          <w:rFonts w:hint="eastAsia" w:ascii="方正小标宋简体" w:hAnsi="方正小标宋简体" w:eastAsia="方正小标宋简体" w:cs="方正小标宋简体"/>
          <w:b w:val="0"/>
          <w:bCs w:val="0"/>
          <w:snapToGrid w:val="0"/>
          <w:color w:val="000000"/>
          <w:kern w:val="0"/>
          <w:sz w:val="44"/>
          <w:szCs w:val="44"/>
          <w:shd w:val="clear" w:color="auto" w:fill="FFFFFF"/>
        </w:rPr>
        <w:t>的批复</w:t>
      </w:r>
      <w:bookmarkEnd w:id="0"/>
    </w:p>
    <w:p w14:paraId="172F41D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Times New Roman" w:hAnsi="Times New Roman" w:eastAsia="仿宋_GB2312" w:cs="仿宋_GB2312"/>
          <w:color w:val="000000"/>
          <w:kern w:val="0"/>
          <w:sz w:val="32"/>
          <w:szCs w:val="32"/>
          <w:shd w:val="clear" w:color="auto" w:fill="FFFFFF"/>
        </w:rPr>
      </w:pPr>
      <w:r>
        <w:rPr>
          <w:rFonts w:ascii="Times New Roman" w:hAnsi="Times New Roman" w:eastAsia="方正小标宋简体" w:cs="方正小标宋简体"/>
          <w:color w:val="000000"/>
          <w:sz w:val="44"/>
          <w:szCs w:val="44"/>
        </w:rPr>
        <mc:AlternateContent>
          <mc:Choice Requires="wps">
            <w:drawing>
              <wp:anchor distT="0" distB="0" distL="113030" distR="113030" simplePos="0" relativeHeight="251659264" behindDoc="0" locked="0" layoutInCell="0" hidden="1" allowOverlap="1">
                <wp:simplePos x="0" y="0"/>
                <wp:positionH relativeFrom="page">
                  <wp:posOffset>735330</wp:posOffset>
                </wp:positionH>
                <wp:positionV relativeFrom="page">
                  <wp:posOffset>9936480</wp:posOffset>
                </wp:positionV>
                <wp:extent cx="6083935" cy="635"/>
                <wp:effectExtent l="0" t="0" r="0" b="0"/>
                <wp:wrapTopAndBottom/>
                <wp:docPr id="7" name="_x0000_s1026" hidden="1"/>
                <wp:cNvGraphicFramePr/>
                <a:graphic xmlns:a="http://schemas.openxmlformats.org/drawingml/2006/main">
                  <a:graphicData uri="http://schemas.microsoft.com/office/word/2010/wordprocessingShape">
                    <wps:wsp>
                      <wps:cNvCnPr/>
                      <wps:spPr>
                        <a:xfrm>
                          <a:off x="0" y="0"/>
                          <a:ext cx="6083935" cy="951"/>
                        </a:xfrm>
                        <a:prstGeom prst="line">
                          <a:avLst/>
                        </a:prstGeom>
                        <a:noFill/>
                        <a:ln w="69850" cap="flat" cmpd="thinThick">
                          <a:solidFill>
                            <a:srgbClr val="FF0000"/>
                          </a:solidFill>
                          <a:prstDash val="solid"/>
                          <a:miter/>
                        </a:ln>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57.9pt;margin-top:782.4pt;height:0.05pt;width:479.05pt;mso-position-horizontal-relative:page;mso-position-vertical-relative:page;mso-wrap-distance-bottom:0pt;mso-wrap-distance-top:0pt;visibility:hidden;z-index:251659264;mso-width-relative:page;mso-height-relative:page;" filled="f" stroked="t" coordsize="21600,21600" o:allowincell="f" o:gfxdata="UEsDBAoAAAAAAIdO4kAAAAAAAAAAAAAAAAAEAAAAZHJzL1BLAwQUAAAACACHTuJAQ3qdudcAAAAO&#10;AQAADwAAAGRycy9kb3ducmV2LnhtbE2PMU/DMBCFdyT+g3VILIg6AVpoiNMBiQExJUTMbnzEFvE5&#10;it2k/HuuYqDbe3dP774rd0c/iBmn6AIpyFcZCKQuGEe9gvbj9fYJREyajB4CoYIfjLCrLi9KXZiw&#10;UI1zk3rBJRQLrcCmNBZSxs6i13EVRiTefYXJ68R26qWZ9MLlfpB3WbaRXjviC1aP+GKx+24OXsF7&#10;auaAeWvb5a3/dKar3Y2slbq+yrNnEAmP6T8MJ3xGh4qZ9uFAJoqBfb5m9MRivXlgdYpkj/dbEPu/&#10;2RZkVcrzN6pfUEsDBBQAAAAIAIdO4kAEG9usHAIAADUEAAAOAAAAZHJzL2Uyb0RvYy54bWytU02P&#10;2jAQvVfqf7B8LwkssBARVhWIqlLVIu32vDKOTaz6q2ND2P76jh0KdHvZQ3NIbM/4zbw3L4uHk9Hk&#10;KCAoZ2s6HJSUCMtdo+y+pt+fNh9mlITIbMO0s6KmLyLQh+X7d4vOV2LkWqcbAQRBbKg6X9M2Rl8V&#10;ReCtMCwMnBcWg9KBYRG3sC8aYB2iG12MynJadA4aD46LEPB03QfpGRHeAuikVFysHT8YYWOPCkKz&#10;iJRCq3ygy9ytlILHb1IGEYmuKTKN+Y1FcL1L72K5YNUemG8VP7fA3tLCK06GKYtFL1BrFhk5gPoH&#10;yigOLjgZB9yZoieSFUEWw/KVNo8t8yJzQamDv4ge/h8s/3rcAlFNTe8psczgwJ9PJT7PYViOppS0&#10;qmlEMkqSqvOhwhsru4XzLvgtJN4nCSZ9kRE5ZXlfLvKKUyQcD6fl7G5+N6GEY2w+yYjF9aqHED8J&#10;Z0ha1FQrm7izih2/hIjlMPVPSjq2bqO0zvPTlnQIP59NcKycoSklmgGXxiOx2Cr7hOP9kdGC06pJ&#10;NxNGgP1upYEcGdpjs0m8E02s9FdaKrtmoe3zcqg3jlFRJCXwgrb4Sfr0iqTVzjUvKC7+a0indfCL&#10;kg6dVtPw88BAUKI/WxzlfDgeJ2vmzXhyP8IN3EZ2txFmOUIhK0r65Sr2dj54UPsWKw0zT+s+HqKT&#10;Kit37ebcJLopd312frLr7T5nXf/2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Dep251wAAAA4B&#10;AAAPAAAAAAAAAAEAIAAAACIAAABkcnMvZG93bnJldi54bWxQSwECFAAUAAAACACHTuJABBvbrBwC&#10;AAA1BAAADgAAAAAAAAABACAAAAAmAQAAZHJzL2Uyb0RvYy54bWxQSwUGAAAAAAYABgBZAQAAtAUA&#10;AAAA&#10;">
                <v:fill on="f" focussize="0,0"/>
                <v:stroke weight="5.5pt" color="#FF0000" linestyle="thinThick" joinstyle="miter"/>
                <v:imagedata o:title=""/>
                <o:lock v:ext="edit" aspectratio="f"/>
                <w10:wrap type="topAndBottom"/>
              </v:line>
            </w:pict>
          </mc:Fallback>
        </mc:AlternateContent>
      </w:r>
      <w:r>
        <w:rPr>
          <w:rFonts w:ascii="Times New Roman" w:hAnsi="Times New Roman" w:eastAsia="方正小标宋简体" w:cs="方正小标宋简体"/>
          <w:color w:val="000000"/>
          <w:sz w:val="44"/>
          <w:szCs w:val="44"/>
        </w:rPr>
        <mc:AlternateContent>
          <mc:Choice Requires="wps">
            <w:drawing>
              <wp:anchor distT="0" distB="0" distL="113030" distR="113030" simplePos="0" relativeHeight="251659264" behindDoc="0" locked="0" layoutInCell="0" hidden="1" allowOverlap="1">
                <wp:simplePos x="0" y="0"/>
                <wp:positionH relativeFrom="column">
                  <wp:posOffset>-274320</wp:posOffset>
                </wp:positionH>
                <wp:positionV relativeFrom="margin">
                  <wp:posOffset>444500</wp:posOffset>
                </wp:positionV>
                <wp:extent cx="6083935" cy="635"/>
                <wp:effectExtent l="0" t="0" r="0" b="0"/>
                <wp:wrapTopAndBottom/>
                <wp:docPr id="9" name="_x0000_s1027" hidden="1"/>
                <wp:cNvGraphicFramePr/>
                <a:graphic xmlns:a="http://schemas.openxmlformats.org/drawingml/2006/main">
                  <a:graphicData uri="http://schemas.microsoft.com/office/word/2010/wordprocessingShape">
                    <wps:wsp>
                      <wps:cNvCnPr/>
                      <wps:spPr>
                        <a:xfrm>
                          <a:off x="0" y="0"/>
                          <a:ext cx="6083935" cy="952"/>
                        </a:xfrm>
                        <a:prstGeom prst="line">
                          <a:avLst/>
                        </a:prstGeom>
                        <a:noFill/>
                        <a:ln w="69850" cap="flat" cmpd="thickThin">
                          <a:solidFill>
                            <a:srgbClr val="FF0000"/>
                          </a:solidFill>
                          <a:prstDash val="solid"/>
                          <a:miter/>
                        </a:ln>
                      </wps:spPr>
                      <wps:bodyPr vert="horz" wrap="square" lIns="91440" tIns="45720" rIns="91440" bIns="45720" anchor="t" anchorCtr="0" upright="1">
                        <a:noAutofit/>
                      </wps:bodyPr>
                    </wps:wsp>
                  </a:graphicData>
                </a:graphic>
              </wp:anchor>
            </w:drawing>
          </mc:Choice>
          <mc:Fallback>
            <w:pict>
              <v:line id="_x0000_s1027" o:spid="_x0000_s1026" o:spt="20" style="position:absolute;left:0pt;margin-left:-21.6pt;margin-top:35pt;height:0.05pt;width:479.05pt;mso-position-vertical-relative:margin;mso-wrap-distance-bottom:0pt;mso-wrap-distance-top:0pt;visibility:hidden;z-index:251659264;mso-width-relative:page;mso-height-relative:page;" filled="f" stroked="t" coordsize="21600,21600" o:allowincell="f" o:gfxdata="UEsDBAoAAAAAAIdO4kAAAAAAAAAAAAAAAAAEAAAAZHJzL1BLAwQUAAAACACHTuJA6OKrdNoAAAAJ&#10;AQAADwAAAGRycy9kb3ducmV2LnhtbE2PwU7DMAyG70i8Q2QkLmhLug3GStMdhnZBmhBlEhyzxmur&#10;NU7VpN14e7wTHG1/+v392friWjFiHxpPGpKpAoFUettQpWH/uZ08gwjRkDWtJ9TwgwHW+e1NZlLr&#10;z/SBYxErwSEUUqOhjrFLpQxljc6Eqe+Q+Hb0vTORx76StjdnDnetnCn1JJ1piD/UpsNNjeWpGJyG&#10;8fXroXjsjvvT8vv9bevnu6Ha7LS+v0vUC4iIl/gHw1Wf1SFnp4MfyAbRapgs5jNGNSwVd2JglSxW&#10;IA7XRQIyz+T/BvkvUEsDBBQAAAAIAIdO4kAfcLhpHAIAADUEAAAOAAAAZHJzL2Uyb0RvYy54bWyt&#10;U02P2jAQvVfqf7B8Lwks7C4RYVWBqCpV7Uq7Pa8GxyFW/VWPIdBf33GSAt1e9tAckhnP+Hne88vi&#10;4Wg0O8iAytmSj0c5Z9IKVym7K/n3582He84wgq1AOytLfpLIH5bv3y1aX8iJa5yuZGAEYrFofcmb&#10;GH2RZSgaaQBHzktLxdoFA5HSsMuqAC2hG51N8vw2a12ofHBCItLqui/yATG8BdDVtRJy7cTeSBt7&#10;1CA1RKKEjfLIl920dS1F/FbXKCPTJSemsXvTIRRv0ztbLqDYBfCNEsMI8JYRXnEyoCwdeoZaQwS2&#10;D+ofKKNEcOjqOBLOZD2RThFiMc5fafPUgJcdF5Ia/Vl0/H+w4uvhMTBVlXzOmQVDF/5yzOl5wXE+&#10;ueOsUVUlk1GSVK3Hgnas7GMYMvSPIfE+1sGkLzFix07e01leeYxM0OJtfn8zv5lxJqg2n00SYnbZ&#10;6gPGT9IZloKSa2UTdyjg8AVj3/qnJS1bt1Fa0zoU2rKW4Of3M7pWAWTKmsxAofFELNLV/nhuhgtC&#10;p1WVdqaNGHbblQ7sAGSPzSbxHob6qy0duwZs+r6ulNqgMCrKpASx0JY+SZ9ekRRtXXUicelfIzqN&#10;C784a8lpJcefewiSM/3Z0lXOx9NpsmaXTGd3E0rCdWV7XQErCIpYcdaHq9jbee+D2jV00rhTzbqP&#10;++hq1Sl3mWYYktzUTT04P9n1Ou+6Ln/78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o4qt02gAA&#10;AAkBAAAPAAAAAAAAAAEAIAAAACIAAABkcnMvZG93bnJldi54bWxQSwECFAAUAAAACACHTuJAH3C4&#10;aRwCAAA1BAAADgAAAAAAAAABACAAAAApAQAAZHJzL2Uyb0RvYy54bWxQSwUGAAAAAAYABgBZAQAA&#10;twUAAAAA&#10;">
                <v:fill on="f" focussize="0,0"/>
                <v:stroke weight="5.5pt" color="#FF0000" linestyle="thickThin" joinstyle="miter"/>
                <v:imagedata o:title=""/>
                <o:lock v:ext="edit" aspectratio="f"/>
                <w10:wrap type="topAndBottom"/>
              </v:line>
            </w:pict>
          </mc:Fallback>
        </mc:AlternateContent>
      </w:r>
    </w:p>
    <w:p w14:paraId="136EF502">
      <w:pPr>
        <w:keepNext w:val="0"/>
        <w:keepLines w:val="0"/>
        <w:pageBreakBefore w:val="0"/>
        <w:widowControl w:val="0"/>
        <w:suppressLineNumbers w:val="0"/>
        <w:suppressAutoHyphens w:val="0"/>
        <w:kinsoku/>
        <w:wordWrap/>
        <w:overflowPunct/>
        <w:topLinePunct w:val="0"/>
        <w:autoSpaceDE/>
        <w:autoSpaceDN/>
        <w:bidi w:val="0"/>
        <w:adjustRightInd w:val="0"/>
        <w:snapToGrid w:val="0"/>
        <w:spacing w:beforeAutospacing="0" w:afterAutospacing="0" w:line="56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kern w:val="0"/>
          <w:sz w:val="32"/>
          <w:szCs w:val="32"/>
          <w:shd w:val="clear" w:color="auto" w:fill="FFFFFF"/>
        </w:rPr>
        <w:t>润电新能源(秦皇岛)有限公司</w:t>
      </w:r>
      <w:r>
        <w:rPr>
          <w:rFonts w:hint="eastAsia" w:ascii="仿宋_GB2312" w:hAnsi="仿宋_GB2312" w:eastAsia="仿宋_GB2312" w:cs="仿宋_GB2312"/>
          <w:color w:val="000000"/>
          <w:kern w:val="0"/>
          <w:sz w:val="32"/>
          <w:szCs w:val="32"/>
          <w:shd w:val="clear" w:color="auto" w:fill="FFFFFF"/>
        </w:rPr>
        <w:t>:</w:t>
      </w:r>
    </w:p>
    <w:p w14:paraId="420A3ADD">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eastAsia"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所报《</w:t>
      </w:r>
      <w:r>
        <w:rPr>
          <w:rFonts w:hint="eastAsia" w:ascii="仿宋_GB2312" w:hAnsi="仿宋_GB2312" w:eastAsia="仿宋_GB2312" w:cs="仿宋_GB2312"/>
          <w:b w:val="0"/>
          <w:bCs w:val="0"/>
          <w:snapToGrid w:val="0"/>
          <w:color w:val="000000"/>
          <w:kern w:val="0"/>
          <w:sz w:val="32"/>
          <w:szCs w:val="32"/>
          <w:shd w:val="clear" w:color="auto" w:fill="FFFFFF"/>
        </w:rPr>
        <w:t>华润青龙二期50MW风力发电项目送出工程</w:t>
      </w:r>
      <w:r>
        <w:rPr>
          <w:rFonts w:hint="eastAsia" w:ascii="仿宋_GB2312" w:hAnsi="仿宋_GB2312" w:eastAsia="仿宋_GB2312" w:cs="仿宋_GB2312"/>
          <w:color w:val="000000"/>
          <w:kern w:val="0"/>
          <w:sz w:val="32"/>
          <w:szCs w:val="32"/>
          <w:shd w:val="clear" w:color="auto" w:fill="FFFFFF"/>
        </w:rPr>
        <w:t>环境影响报告表》(以下简称《报告表》)审批申请</w:t>
      </w:r>
      <w:r>
        <w:rPr>
          <w:rFonts w:hint="eastAsia" w:ascii="仿宋_GB2312" w:hAnsi="仿宋_GB2312" w:eastAsia="仿宋_GB2312" w:cs="仿宋_GB2312"/>
          <w:snapToGrid w:val="0"/>
          <w:color w:val="000000"/>
          <w:kern w:val="0"/>
          <w:sz w:val="32"/>
          <w:szCs w:val="32"/>
          <w:shd w:val="clear" w:color="auto" w:fill="FFFFFF"/>
          <w:lang w:val="en-US" w:eastAsia="zh-CN"/>
        </w:rPr>
        <w:t>及相关申报材料收悉。</w:t>
      </w:r>
      <w:r>
        <w:rPr>
          <w:rFonts w:hint="eastAsia" w:ascii="仿宋_GB2312" w:hAnsi="仿宋_GB2312" w:eastAsia="仿宋_GB2312" w:cs="仿宋_GB2312"/>
          <w:color w:val="000000"/>
          <w:kern w:val="0"/>
          <w:sz w:val="32"/>
          <w:szCs w:val="32"/>
          <w:shd w:val="clear" w:color="auto" w:fill="FFFFFF"/>
        </w:rPr>
        <w:t>结合</w:t>
      </w:r>
      <w:r>
        <w:rPr>
          <w:rFonts w:hint="eastAsia" w:ascii="仿宋_GB2312" w:hAnsi="仿宋_GB2312" w:eastAsia="仿宋_GB2312" w:cs="仿宋_GB2312"/>
          <w:snapToGrid w:val="0"/>
          <w:color w:val="000000"/>
          <w:kern w:val="0"/>
          <w:sz w:val="32"/>
          <w:szCs w:val="32"/>
          <w:shd w:val="clear" w:color="auto" w:fill="FFFFFF"/>
          <w:lang w:val="en-US" w:eastAsia="zh-CN"/>
        </w:rPr>
        <w:t>《润电新能源(秦皇岛)有限公司华润青龙二期50MW风力发电项目送出工程环境影响报告表技术评估意见》</w:t>
      </w:r>
      <w:r>
        <w:rPr>
          <w:rFonts w:hint="eastAsia" w:ascii="仿宋_GB2312" w:hAnsi="仿宋_GB2312" w:eastAsia="仿宋_GB2312" w:cs="仿宋_GB2312"/>
          <w:color w:val="000000"/>
          <w:spacing w:val="0"/>
          <w:kern w:val="0"/>
          <w:sz w:val="32"/>
          <w:szCs w:val="32"/>
          <w:lang w:eastAsia="zh-CN"/>
        </w:rPr>
        <w:t>（超泰环评[202</w:t>
      </w:r>
      <w:r>
        <w:rPr>
          <w:rFonts w:hint="eastAsia" w:ascii="仿宋_GB2312" w:hAnsi="仿宋_GB2312" w:eastAsia="仿宋_GB2312" w:cs="仿宋_GB2312"/>
          <w:color w:val="000000"/>
          <w:spacing w:val="0"/>
          <w:kern w:val="0"/>
          <w:sz w:val="32"/>
          <w:szCs w:val="32"/>
          <w:lang w:val="en-US" w:eastAsia="zh-CN"/>
        </w:rPr>
        <w:t>6</w:t>
      </w:r>
      <w:r>
        <w:rPr>
          <w:rFonts w:hint="eastAsia" w:ascii="仿宋_GB2312" w:hAnsi="仿宋_GB2312" w:eastAsia="仿宋_GB2312" w:cs="仿宋_GB2312"/>
          <w:color w:val="000000"/>
          <w:spacing w:val="0"/>
          <w:kern w:val="0"/>
          <w:sz w:val="32"/>
          <w:szCs w:val="32"/>
          <w:lang w:eastAsia="zh-CN"/>
        </w:rPr>
        <w:t>]0</w:t>
      </w:r>
      <w:r>
        <w:rPr>
          <w:rFonts w:hint="eastAsia" w:ascii="仿宋_GB2312" w:hAnsi="仿宋_GB2312" w:eastAsia="仿宋_GB2312" w:cs="仿宋_GB2312"/>
          <w:color w:val="000000"/>
          <w:spacing w:val="0"/>
          <w:kern w:val="0"/>
          <w:sz w:val="32"/>
          <w:szCs w:val="32"/>
          <w:lang w:val="en-US" w:eastAsia="zh-CN"/>
        </w:rPr>
        <w:t>13</w:t>
      </w:r>
      <w:r>
        <w:rPr>
          <w:rFonts w:hint="eastAsia" w:ascii="仿宋_GB2312" w:hAnsi="仿宋_GB2312" w:eastAsia="仿宋_GB2312" w:cs="仿宋_GB2312"/>
          <w:color w:val="000000"/>
          <w:spacing w:val="0"/>
          <w:kern w:val="0"/>
          <w:sz w:val="32"/>
          <w:szCs w:val="32"/>
          <w:lang w:eastAsia="zh-CN"/>
        </w:rPr>
        <w:t>号）</w:t>
      </w:r>
      <w:r>
        <w:rPr>
          <w:rFonts w:hint="eastAsia" w:ascii="仿宋_GB2312" w:hAnsi="仿宋_GB2312" w:eastAsia="仿宋_GB2312" w:cs="仿宋_GB2312"/>
          <w:snapToGrid w:val="0"/>
          <w:color w:val="000000"/>
          <w:kern w:val="0"/>
          <w:sz w:val="32"/>
          <w:szCs w:val="32"/>
          <w:shd w:val="clear" w:color="auto" w:fill="FFFFFF"/>
          <w:lang w:val="en-US" w:eastAsia="zh-CN"/>
        </w:rPr>
        <w:t>，经研究，现批复如下：</w:t>
      </w:r>
    </w:p>
    <w:p w14:paraId="1543D1EC">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60" w:lineRule="exact"/>
        <w:ind w:left="0" w:leftChars="0" w:firstLine="640" w:firstLineChars="200"/>
        <w:textAlignment w:val="auto"/>
        <w:rPr>
          <w:rFonts w:hint="eastAsia" w:ascii="仿宋_GB2312" w:hAnsi="仿宋_GB2312" w:eastAsia="仿宋_GB2312" w:cs="仿宋_GB2312"/>
          <w:snapToGrid w:val="0"/>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rPr>
        <w:t>项目主要建设内容及总体要求。</w:t>
      </w:r>
      <w:r>
        <w:rPr>
          <w:rFonts w:hint="eastAsia" w:ascii="仿宋_GB2312" w:hAnsi="仿宋_GB2312" w:eastAsia="仿宋_GB2312" w:cs="仿宋_GB2312"/>
          <w:color w:val="000000"/>
          <w:spacing w:val="0"/>
          <w:kern w:val="0"/>
          <w:sz w:val="32"/>
          <w:szCs w:val="32"/>
        </w:rPr>
        <w:t>本项目</w:t>
      </w:r>
      <w:r>
        <w:rPr>
          <w:rFonts w:hint="eastAsia" w:ascii="仿宋_GB2312" w:hAnsi="仿宋_GB2312" w:eastAsia="仿宋_GB2312" w:cs="仿宋_GB2312"/>
          <w:snapToGrid w:val="0"/>
          <w:color w:val="000000"/>
          <w:kern w:val="0"/>
          <w:sz w:val="32"/>
          <w:szCs w:val="32"/>
          <w:shd w:val="clear" w:color="auto" w:fill="FFFFFF"/>
          <w:lang w:val="en-US" w:eastAsia="zh-CN"/>
        </w:rPr>
        <w:t>110kV线路起点为华润青龙二期110kV升压站，终点为华润青龙一期110kV升压站（兰若院风电场升压站），线路位于秦皇岛市青龙满族自治县娄杖子镇、肖营子镇。</w:t>
      </w:r>
      <w:r>
        <w:rPr>
          <w:rFonts w:hint="eastAsia" w:ascii="仿宋_GB2312" w:hAnsi="仿宋_GB2312" w:eastAsia="仿宋_GB2312" w:cs="仿宋_GB2312"/>
          <w:color w:val="000000"/>
          <w:spacing w:val="0"/>
          <w:kern w:val="0"/>
          <w:sz w:val="32"/>
          <w:szCs w:val="32"/>
        </w:rPr>
        <w:t>线路路径长度约</w:t>
      </w:r>
      <w:r>
        <w:rPr>
          <w:rFonts w:hint="eastAsia" w:ascii="仿宋_GB2312" w:hAnsi="仿宋_GB2312" w:eastAsia="仿宋_GB2312" w:cs="仿宋_GB2312"/>
          <w:color w:val="000000"/>
          <w:spacing w:val="0"/>
          <w:kern w:val="0"/>
          <w:sz w:val="32"/>
          <w:szCs w:val="32"/>
          <w:lang w:val="en-US" w:eastAsia="zh-CN"/>
        </w:rPr>
        <w:t>14.79</w:t>
      </w:r>
      <w:r>
        <w:rPr>
          <w:rFonts w:hint="eastAsia" w:ascii="仿宋_GB2312" w:hAnsi="仿宋_GB2312" w:eastAsia="仿宋_GB2312" w:cs="仿宋_GB2312"/>
          <w:color w:val="000000"/>
          <w:spacing w:val="0"/>
          <w:kern w:val="0"/>
          <w:sz w:val="32"/>
          <w:szCs w:val="32"/>
        </w:rPr>
        <w:t>公里。</w:t>
      </w:r>
      <w:r>
        <w:rPr>
          <w:rFonts w:hint="eastAsia" w:ascii="仿宋_GB2312" w:hAnsi="仿宋_GB2312" w:eastAsia="仿宋_GB2312" w:cs="仿宋_GB2312"/>
          <w:snapToGrid w:val="0"/>
          <w:color w:val="000000"/>
          <w:kern w:val="0"/>
          <w:sz w:val="32"/>
          <w:szCs w:val="32"/>
          <w:shd w:val="clear" w:color="auto" w:fill="FFFFFF"/>
          <w:lang w:val="en-US" w:eastAsia="zh-CN"/>
        </w:rPr>
        <w:t>同时，华润青龙一期110kV升压站（位于秦皇岛市青龙满族自治县肖营子镇）站内扩建间隔，不新增占地。</w:t>
      </w:r>
      <w:r>
        <w:rPr>
          <w:rFonts w:hint="eastAsia" w:ascii="仿宋_GB2312" w:hAnsi="仿宋_GB2312" w:eastAsia="仿宋_GB2312" w:cs="仿宋_GB2312"/>
          <w:color w:val="000000"/>
          <w:kern w:val="0"/>
          <w:sz w:val="32"/>
          <w:szCs w:val="32"/>
          <w:shd w:val="clear" w:color="auto" w:fill="FFFFFF"/>
        </w:rPr>
        <w:t>项目总投资为</w:t>
      </w:r>
      <w:r>
        <w:rPr>
          <w:rFonts w:hint="eastAsia" w:ascii="仿宋_GB2312" w:hAnsi="仿宋_GB2312" w:eastAsia="仿宋_GB2312" w:cs="仿宋_GB2312"/>
          <w:color w:val="000000"/>
          <w:kern w:val="0"/>
          <w:sz w:val="32"/>
          <w:szCs w:val="32"/>
          <w:shd w:val="clear" w:color="auto" w:fill="FFFFFF"/>
          <w:lang w:val="en-US" w:eastAsia="zh-CN"/>
        </w:rPr>
        <w:t>2470</w:t>
      </w:r>
      <w:r>
        <w:rPr>
          <w:rFonts w:hint="eastAsia" w:ascii="仿宋_GB2312" w:hAnsi="仿宋_GB2312" w:eastAsia="仿宋_GB2312" w:cs="仿宋_GB2312"/>
          <w:color w:val="000000"/>
          <w:spacing w:val="0"/>
          <w:kern w:val="0"/>
          <w:sz w:val="32"/>
          <w:szCs w:val="32"/>
        </w:rPr>
        <w:t>万元，</w:t>
      </w:r>
      <w:r>
        <w:rPr>
          <w:rFonts w:hint="eastAsia" w:ascii="仿宋_GB2312" w:hAnsi="仿宋_GB2312" w:eastAsia="仿宋_GB2312" w:cs="仿宋_GB2312"/>
          <w:color w:val="000000"/>
          <w:kern w:val="0"/>
          <w:sz w:val="32"/>
          <w:szCs w:val="32"/>
          <w:shd w:val="clear" w:color="auto" w:fill="FFFFFF"/>
        </w:rPr>
        <w:t>其中环保投资为</w:t>
      </w:r>
      <w:r>
        <w:rPr>
          <w:rFonts w:hint="eastAsia" w:ascii="仿宋_GB2312" w:hAnsi="仿宋_GB2312" w:eastAsia="仿宋_GB2312" w:cs="仿宋_GB2312"/>
          <w:color w:val="000000"/>
          <w:kern w:val="0"/>
          <w:sz w:val="32"/>
          <w:szCs w:val="32"/>
          <w:shd w:val="clear" w:color="auto" w:fill="FFFFFF"/>
          <w:lang w:val="en-US" w:eastAsia="zh-CN"/>
        </w:rPr>
        <w:t>55</w:t>
      </w:r>
      <w:r>
        <w:rPr>
          <w:rFonts w:hint="eastAsia" w:ascii="仿宋_GB2312" w:hAnsi="仿宋_GB2312" w:eastAsia="仿宋_GB2312" w:cs="仿宋_GB2312"/>
          <w:color w:val="000000"/>
          <w:kern w:val="0"/>
          <w:sz w:val="32"/>
          <w:szCs w:val="32"/>
          <w:shd w:val="clear" w:color="auto" w:fill="FFFFFF"/>
        </w:rPr>
        <w:t>万元，占总投资的</w:t>
      </w:r>
      <w:r>
        <w:rPr>
          <w:rFonts w:hint="eastAsia" w:ascii="仿宋_GB2312" w:hAnsi="仿宋_GB2312" w:eastAsia="仿宋_GB2312" w:cs="仿宋_GB2312"/>
          <w:color w:val="000000"/>
          <w:kern w:val="0"/>
          <w:sz w:val="32"/>
          <w:szCs w:val="32"/>
          <w:shd w:val="clear" w:color="auto" w:fill="FFFFFF"/>
          <w:lang w:val="en-US" w:eastAsia="zh-CN"/>
        </w:rPr>
        <w:t>2.23%。</w:t>
      </w:r>
      <w:r>
        <w:rPr>
          <w:rFonts w:hint="eastAsia" w:ascii="仿宋_GB2312" w:hAnsi="仿宋_GB2312" w:eastAsia="仿宋_GB2312" w:cs="仿宋_GB2312"/>
          <w:color w:val="000000"/>
          <w:kern w:val="0"/>
          <w:sz w:val="32"/>
          <w:szCs w:val="32"/>
          <w:shd w:val="clear" w:color="auto" w:fill="FFFFFF"/>
          <w:lang w:eastAsia="zh-CN"/>
        </w:rPr>
        <w:t>项目须符合相关产业政策</w:t>
      </w:r>
      <w:r>
        <w:rPr>
          <w:rFonts w:hint="eastAsia" w:ascii="仿宋_GB2312" w:hAnsi="仿宋_GB2312" w:eastAsia="仿宋_GB2312" w:cs="仿宋_GB2312"/>
          <w:color w:val="000000"/>
          <w:kern w:val="0"/>
          <w:sz w:val="32"/>
          <w:szCs w:val="32"/>
          <w:shd w:val="clear" w:color="auto" w:fill="FFFFFF"/>
          <w:lang w:val="en-US" w:eastAsia="zh-CN"/>
        </w:rPr>
        <w:t>和</w:t>
      </w:r>
      <w:r>
        <w:rPr>
          <w:rFonts w:hint="eastAsia" w:ascii="仿宋_GB2312" w:hAnsi="仿宋_GB2312" w:eastAsia="仿宋_GB2312" w:cs="仿宋_GB2312"/>
          <w:color w:val="000000"/>
          <w:kern w:val="0"/>
          <w:sz w:val="32"/>
          <w:szCs w:val="32"/>
        </w:rPr>
        <w:t>“三线一单”管控等要求</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项目建设须符合城乡建设、土地利用</w:t>
      </w:r>
      <w:r>
        <w:rPr>
          <w:rFonts w:hint="eastAsia" w:ascii="仿宋_GB2312" w:hAnsi="仿宋_GB2312" w:eastAsia="仿宋_GB2312" w:cs="仿宋_GB2312"/>
          <w:color w:val="000000"/>
          <w:kern w:val="0"/>
          <w:sz w:val="32"/>
          <w:szCs w:val="32"/>
          <w:lang w:eastAsia="zh-CN"/>
        </w:rPr>
        <w:t>、地方产业布局</w:t>
      </w:r>
      <w:r>
        <w:rPr>
          <w:rFonts w:hint="eastAsia" w:ascii="仿宋_GB2312" w:hAnsi="仿宋_GB2312" w:eastAsia="仿宋_GB2312" w:cs="仿宋_GB2312"/>
          <w:color w:val="000000"/>
          <w:kern w:val="0"/>
          <w:sz w:val="32"/>
          <w:szCs w:val="32"/>
        </w:rPr>
        <w:t>等相关规划要求。</w:t>
      </w:r>
      <w:r>
        <w:rPr>
          <w:rFonts w:hint="eastAsia" w:ascii="仿宋_GB2312" w:hAnsi="仿宋_GB2312" w:eastAsia="仿宋_GB2312" w:cs="仿宋_GB2312"/>
          <w:color w:val="000000"/>
          <w:kern w:val="0"/>
          <w:sz w:val="32"/>
          <w:szCs w:val="32"/>
          <w:shd w:val="clear" w:color="auto" w:fill="FFFFFF"/>
          <w:lang w:val="en-US" w:eastAsia="zh-CN"/>
        </w:rPr>
        <w:t>项目</w:t>
      </w:r>
      <w:r>
        <w:rPr>
          <w:rFonts w:hint="eastAsia" w:ascii="仿宋_GB2312" w:hAnsi="仿宋_GB2312" w:eastAsia="仿宋_GB2312" w:cs="仿宋_GB2312"/>
          <w:color w:val="000000"/>
          <w:kern w:val="0"/>
          <w:sz w:val="32"/>
          <w:szCs w:val="32"/>
          <w:shd w:val="clear" w:color="auto" w:fill="FFFFFF"/>
          <w:lang w:eastAsia="zh-CN"/>
        </w:rPr>
        <w:t>已取得《</w:t>
      </w:r>
      <w:r>
        <w:rPr>
          <w:rFonts w:hint="eastAsia" w:ascii="仿宋_GB2312" w:hAnsi="仿宋_GB2312" w:eastAsia="仿宋_GB2312" w:cs="仿宋_GB2312"/>
          <w:color w:val="000000"/>
          <w:kern w:val="0"/>
          <w:sz w:val="32"/>
          <w:szCs w:val="32"/>
        </w:rPr>
        <w:t>秦皇岛市行政审批局关于华润青龙二期50MW风力发电项目送出工程核准的批复</w:t>
      </w:r>
      <w:r>
        <w:rPr>
          <w:rFonts w:hint="eastAsia" w:ascii="仿宋_GB2312" w:hAnsi="仿宋_GB2312" w:eastAsia="仿宋_GB2312" w:cs="仿宋_GB2312"/>
          <w:color w:val="000000"/>
          <w:kern w:val="0"/>
          <w:sz w:val="32"/>
          <w:szCs w:val="32"/>
          <w:shd w:val="clear" w:color="auto" w:fill="FFFFFF"/>
          <w:lang w:eastAsia="zh-CN"/>
        </w:rPr>
        <w:t>》（秦审批投〔202</w:t>
      </w:r>
      <w:r>
        <w:rPr>
          <w:rFonts w:hint="eastAsia" w:ascii="仿宋_GB2312" w:hAnsi="仿宋_GB2312" w:eastAsia="仿宋_GB2312" w:cs="仿宋_GB2312"/>
          <w:color w:val="000000"/>
          <w:kern w:val="0"/>
          <w:sz w:val="32"/>
          <w:szCs w:val="32"/>
          <w:shd w:val="clear" w:color="auto" w:fill="FFFFFF"/>
          <w:lang w:val="en-US" w:eastAsia="zh-CN"/>
        </w:rPr>
        <w:t>5</w:t>
      </w:r>
      <w:r>
        <w:rPr>
          <w:rFonts w:hint="eastAsia" w:ascii="仿宋_GB2312" w:hAnsi="仿宋_GB2312" w:eastAsia="仿宋_GB2312" w:cs="仿宋_GB2312"/>
          <w:color w:val="000000"/>
          <w:kern w:val="0"/>
          <w:sz w:val="32"/>
          <w:szCs w:val="32"/>
          <w:shd w:val="clear" w:color="auto" w:fill="FFFFFF"/>
          <w:lang w:eastAsia="zh-CN"/>
        </w:rPr>
        <w:t>〕07-00</w:t>
      </w:r>
      <w:r>
        <w:rPr>
          <w:rFonts w:hint="eastAsia" w:ascii="仿宋_GB2312" w:hAnsi="仿宋_GB2312" w:eastAsia="仿宋_GB2312" w:cs="仿宋_GB2312"/>
          <w:color w:val="000000"/>
          <w:kern w:val="0"/>
          <w:sz w:val="32"/>
          <w:szCs w:val="32"/>
          <w:shd w:val="clear" w:color="auto" w:fill="FFFFFF"/>
          <w:lang w:val="en-US" w:eastAsia="zh-CN"/>
        </w:rPr>
        <w:t>02</w:t>
      </w:r>
      <w:r>
        <w:rPr>
          <w:rFonts w:hint="eastAsia" w:ascii="仿宋_GB2312" w:hAnsi="仿宋_GB2312" w:eastAsia="仿宋_GB2312" w:cs="仿宋_GB2312"/>
          <w:color w:val="000000"/>
          <w:kern w:val="0"/>
          <w:sz w:val="32"/>
          <w:szCs w:val="32"/>
          <w:shd w:val="clear" w:color="auto" w:fill="FFFFFF"/>
          <w:lang w:eastAsia="zh-CN"/>
        </w:rPr>
        <w:t>号）。</w:t>
      </w:r>
    </w:p>
    <w:p w14:paraId="33813BD6">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napToGrid w:val="0"/>
          <w:color w:val="000000"/>
          <w:spacing w:val="0"/>
          <w:kern w:val="0"/>
          <w:sz w:val="32"/>
          <w:szCs w:val="32"/>
        </w:rPr>
        <w:t>根据所报《</w:t>
      </w:r>
      <w:r>
        <w:rPr>
          <w:rFonts w:hint="eastAsia" w:ascii="仿宋_GB2312" w:hAnsi="仿宋_GB2312" w:eastAsia="仿宋_GB2312" w:cs="仿宋_GB2312"/>
          <w:snapToGrid w:val="0"/>
          <w:color w:val="000000"/>
          <w:kern w:val="0"/>
          <w:sz w:val="32"/>
          <w:szCs w:val="32"/>
          <w:shd w:val="clear" w:color="auto" w:fill="FFFFFF"/>
          <w:lang w:val="en-US" w:eastAsia="zh-CN"/>
        </w:rPr>
        <w:t>报告表</w:t>
      </w:r>
      <w:r>
        <w:rPr>
          <w:rFonts w:hint="eastAsia" w:ascii="仿宋_GB2312" w:hAnsi="仿宋_GB2312" w:eastAsia="仿宋_GB2312" w:cs="仿宋_GB2312"/>
          <w:snapToGrid w:val="0"/>
          <w:color w:val="000000"/>
          <w:spacing w:val="0"/>
          <w:kern w:val="0"/>
          <w:sz w:val="32"/>
          <w:szCs w:val="32"/>
        </w:rPr>
        <w:t>》、报告</w:t>
      </w:r>
      <w:r>
        <w:rPr>
          <w:rFonts w:hint="eastAsia" w:ascii="仿宋_GB2312" w:hAnsi="仿宋_GB2312" w:eastAsia="仿宋_GB2312" w:cs="仿宋_GB2312"/>
          <w:snapToGrid w:val="0"/>
          <w:color w:val="000000"/>
          <w:spacing w:val="0"/>
          <w:kern w:val="0"/>
          <w:sz w:val="32"/>
          <w:szCs w:val="32"/>
          <w:lang w:val="en-US" w:eastAsia="zh-CN"/>
        </w:rPr>
        <w:t>表</w:t>
      </w:r>
      <w:r>
        <w:rPr>
          <w:rFonts w:hint="eastAsia" w:ascii="仿宋_GB2312" w:hAnsi="仿宋_GB2312" w:eastAsia="仿宋_GB2312" w:cs="仿宋_GB2312"/>
          <w:snapToGrid w:val="0"/>
          <w:color w:val="000000"/>
          <w:spacing w:val="0"/>
          <w:kern w:val="0"/>
          <w:sz w:val="32"/>
          <w:szCs w:val="32"/>
        </w:rPr>
        <w:t>评估意见、各有关部门意见、本项目公示意见反馈情况以及企业承诺等</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kern w:val="0"/>
          <w:sz w:val="32"/>
          <w:szCs w:val="32"/>
          <w:shd w:val="clear" w:color="auto" w:fill="FFFFFF"/>
        </w:rPr>
        <w:t>在项目</w:t>
      </w:r>
      <w:r>
        <w:rPr>
          <w:rFonts w:hint="eastAsia" w:ascii="仿宋_GB2312" w:hAnsi="仿宋_GB2312" w:eastAsia="仿宋_GB2312" w:cs="仿宋_GB2312"/>
          <w:snapToGrid w:val="0"/>
          <w:color w:val="000000"/>
          <w:kern w:val="0"/>
          <w:sz w:val="32"/>
          <w:szCs w:val="32"/>
        </w:rPr>
        <w:t>全面严格落实国家和地方相关法律法规、规章、标准</w:t>
      </w:r>
      <w:r>
        <w:rPr>
          <w:rFonts w:hint="eastAsia" w:ascii="仿宋_GB2312" w:hAnsi="仿宋_GB2312" w:eastAsia="仿宋_GB2312" w:cs="仿宋_GB2312"/>
          <w:snapToGrid w:val="0"/>
          <w:color w:val="000000"/>
          <w:kern w:val="0"/>
          <w:sz w:val="32"/>
          <w:szCs w:val="32"/>
          <w:shd w:val="clear" w:color="auto" w:fill="FFFFFF"/>
        </w:rPr>
        <w:t>、生态环境</w:t>
      </w:r>
      <w:r>
        <w:rPr>
          <w:rFonts w:hint="eastAsia" w:ascii="仿宋_GB2312" w:hAnsi="仿宋_GB2312" w:eastAsia="仿宋_GB2312" w:cs="仿宋_GB2312"/>
          <w:color w:val="000000"/>
          <w:spacing w:val="0"/>
          <w:kern w:val="0"/>
          <w:sz w:val="32"/>
          <w:szCs w:val="32"/>
          <w:shd w:val="clear" w:color="auto" w:fill="FFFFFF"/>
        </w:rPr>
        <w:t>部门</w:t>
      </w:r>
      <w:r>
        <w:rPr>
          <w:rFonts w:hint="eastAsia" w:ascii="仿宋_GB2312" w:hAnsi="仿宋_GB2312" w:eastAsia="仿宋_GB2312" w:cs="仿宋_GB2312"/>
          <w:snapToGrid w:val="0"/>
          <w:color w:val="000000"/>
          <w:kern w:val="0"/>
          <w:sz w:val="32"/>
          <w:szCs w:val="32"/>
          <w:shd w:val="clear" w:color="auto" w:fill="FFFFFF"/>
        </w:rPr>
        <w:t>监督管理等要求</w:t>
      </w:r>
      <w:r>
        <w:rPr>
          <w:rFonts w:hint="eastAsia" w:ascii="仿宋_GB2312" w:hAnsi="仿宋_GB2312" w:eastAsia="仿宋_GB2312" w:cs="仿宋_GB2312"/>
          <w:snapToGrid w:val="0"/>
          <w:color w:val="000000"/>
          <w:kern w:val="0"/>
          <w:sz w:val="32"/>
          <w:szCs w:val="32"/>
        </w:rPr>
        <w:t>以及</w:t>
      </w:r>
      <w:r>
        <w:rPr>
          <w:rFonts w:hint="eastAsia" w:ascii="仿宋_GB2312" w:hAnsi="仿宋_GB2312" w:eastAsia="仿宋_GB2312" w:cs="仿宋_GB2312"/>
          <w:snapToGrid w:val="0"/>
          <w:color w:val="000000"/>
          <w:kern w:val="0"/>
          <w:sz w:val="32"/>
          <w:szCs w:val="32"/>
          <w:shd w:val="clear" w:color="auto" w:fill="FFFFFF"/>
        </w:rPr>
        <w:t>《报告表》提出的各项</w:t>
      </w:r>
      <w:r>
        <w:rPr>
          <w:rFonts w:hint="eastAsia" w:ascii="仿宋_GB2312" w:hAnsi="仿宋_GB2312" w:eastAsia="仿宋_GB2312" w:cs="仿宋_GB2312"/>
          <w:color w:val="000000"/>
          <w:kern w:val="0"/>
          <w:sz w:val="32"/>
          <w:szCs w:val="32"/>
          <w:shd w:val="clear" w:color="auto" w:fill="FFFFFF"/>
        </w:rPr>
        <w:t>环境保护措施和环境保护管理要求的前提下，</w:t>
      </w:r>
      <w:r>
        <w:rPr>
          <w:rFonts w:hint="eastAsia" w:ascii="仿宋_GB2312" w:hAnsi="仿宋_GB2312" w:eastAsia="仿宋_GB2312" w:cs="仿宋_GB2312"/>
          <w:snapToGrid w:val="0"/>
          <w:color w:val="000000"/>
          <w:kern w:val="0"/>
          <w:sz w:val="32"/>
          <w:szCs w:val="32"/>
        </w:rPr>
        <w:t>从环境保护角度考虑，我局原则</w:t>
      </w:r>
      <w:r>
        <w:rPr>
          <w:rFonts w:hint="eastAsia" w:ascii="仿宋_GB2312" w:hAnsi="仿宋_GB2312" w:eastAsia="仿宋_GB2312" w:cs="仿宋_GB2312"/>
          <w:snapToGrid w:val="0"/>
          <w:color w:val="000000"/>
          <w:kern w:val="0"/>
          <w:sz w:val="32"/>
          <w:szCs w:val="32"/>
          <w:shd w:val="clear" w:color="auto" w:fill="FFFFFF"/>
        </w:rPr>
        <w:t>同意《报告表》结论。你单位须严格按照《报告表》所列项目的性质、规模、线路路径、</w:t>
      </w:r>
      <w:r>
        <w:rPr>
          <w:rFonts w:hint="eastAsia" w:ascii="仿宋_GB2312" w:hAnsi="仿宋_GB2312" w:eastAsia="仿宋_GB2312" w:cs="仿宋_GB2312"/>
          <w:color w:val="000000"/>
          <w:kern w:val="0"/>
          <w:sz w:val="32"/>
          <w:szCs w:val="32"/>
          <w:shd w:val="clear" w:color="auto" w:fill="FFFFFF"/>
        </w:rPr>
        <w:t>环境保护措施和环境保护管理要求</w:t>
      </w:r>
      <w:r>
        <w:rPr>
          <w:rFonts w:hint="eastAsia" w:ascii="仿宋_GB2312" w:hAnsi="仿宋_GB2312" w:eastAsia="仿宋_GB2312" w:cs="仿宋_GB2312"/>
          <w:snapToGrid w:val="0"/>
          <w:color w:val="000000"/>
          <w:kern w:val="0"/>
          <w:sz w:val="32"/>
          <w:szCs w:val="32"/>
          <w:shd w:val="clear" w:color="auto" w:fill="FFFFFF"/>
        </w:rPr>
        <w:t>等实施项目建设，未列入本报告及批复许可的内容，不得建设、投入运行。</w:t>
      </w:r>
    </w:p>
    <w:p w14:paraId="38E95D57">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640" w:firstLineChars="200"/>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二、该项目在工程建设和运行管理中须认真落实《报告表》及相关的各项环境保护措施和环境保护管理要求，并重点做好以下工作：</w:t>
      </w:r>
    </w:p>
    <w:p w14:paraId="011268B6">
      <w:pPr>
        <w:pStyle w:val="7"/>
        <w:keepNext w:val="0"/>
        <w:keepLines w:val="0"/>
        <w:pageBreakBefore w:val="0"/>
        <w:widowControl w:val="0"/>
        <w:numPr>
          <w:ilvl w:val="0"/>
          <w:numId w:val="2"/>
        </w:numPr>
        <w:suppressLineNumbers w:val="0"/>
        <w:suppressAutoHyphens w:val="0"/>
        <w:kinsoku/>
        <w:wordWrap/>
        <w:overflowPunct/>
        <w:topLinePunct w:val="0"/>
        <w:autoSpaceDE/>
        <w:autoSpaceDN/>
        <w:bidi w:val="0"/>
        <w:adjustRightInd w:val="0"/>
        <w:snapToGrid w:val="0"/>
        <w:spacing w:beforeAutospacing="0" w:afterAutospacing="0" w:line="560" w:lineRule="exact"/>
        <w:ind w:left="0"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shd w:val="clear" w:color="auto" w:fill="FFFFFF"/>
        </w:rPr>
        <w:t>加强施工期环境保护工作，</w:t>
      </w:r>
      <w:r>
        <w:rPr>
          <w:rFonts w:hint="eastAsia" w:ascii="仿宋_GB2312" w:hAnsi="仿宋_GB2312" w:eastAsia="仿宋_GB2312" w:cs="仿宋_GB2312"/>
          <w:color w:val="000000"/>
          <w:kern w:val="0"/>
          <w:sz w:val="32"/>
          <w:szCs w:val="32"/>
        </w:rPr>
        <w:t>采取有效防尘、降噪措施，不得扰民；施工过程中产生的固体垃圾应分类集中堆放，及时按相关要求清运，依法依规处理；产生的废水要依法依规处理，不得排入沿线地表水体等外环境；尽量减少施工用地面积和对地表植被的扰动，及时进行生态恢复治理。</w:t>
      </w:r>
    </w:p>
    <w:p w14:paraId="4AB30FEC">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（二）严格落实有关控制工频电场、工频磁场的环境保护措施，确保</w:t>
      </w:r>
      <w:r>
        <w:rPr>
          <w:rFonts w:hint="eastAsia" w:ascii="仿宋_GB2312" w:hAnsi="仿宋_GB2312" w:eastAsia="仿宋_GB2312" w:cs="仿宋_GB2312"/>
          <w:color w:val="000000"/>
          <w:kern w:val="0"/>
          <w:sz w:val="32"/>
          <w:szCs w:val="32"/>
          <w:lang w:eastAsia="zh-CN"/>
        </w:rPr>
        <w:t>项目</w:t>
      </w:r>
      <w:r>
        <w:rPr>
          <w:rFonts w:hint="eastAsia" w:ascii="仿宋_GB2312" w:hAnsi="仿宋_GB2312" w:eastAsia="仿宋_GB2312" w:cs="仿宋_GB2312"/>
          <w:color w:val="000000"/>
          <w:kern w:val="0"/>
          <w:sz w:val="32"/>
          <w:szCs w:val="32"/>
        </w:rPr>
        <w:t>运行时周围环境中的工频电场强度、工频磁感应强度符合《电磁环境控制限值》（GB8702—2014）中相关限值要求，同时应设置警示和防护指示标志。</w:t>
      </w:r>
    </w:p>
    <w:p w14:paraId="7989545D">
      <w:pPr>
        <w:pStyle w:val="8"/>
        <w:keepNext w:val="0"/>
        <w:keepLines w:val="0"/>
        <w:pageBreakBefore w:val="0"/>
        <w:widowControl w:val="0"/>
        <w:suppressLineNumbers w:val="0"/>
        <w:suppressAutoHyphens w:val="0"/>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（三）重点做好环境噪声的防治工作，确保</w:t>
      </w:r>
      <w:r>
        <w:rPr>
          <w:rFonts w:hint="eastAsia" w:ascii="仿宋_GB2312" w:hAnsi="仿宋_GB2312" w:eastAsia="仿宋_GB2312" w:cs="仿宋_GB2312"/>
          <w:color w:val="000000"/>
          <w:kern w:val="0"/>
          <w:sz w:val="32"/>
          <w:szCs w:val="32"/>
          <w:lang w:eastAsia="zh-CN"/>
        </w:rPr>
        <w:t>项目</w:t>
      </w:r>
      <w:bookmarkStart w:id="2" w:name="_GoBack"/>
      <w:bookmarkEnd w:id="2"/>
      <w:r>
        <w:rPr>
          <w:rFonts w:hint="eastAsia" w:ascii="仿宋_GB2312" w:hAnsi="仿宋_GB2312" w:eastAsia="仿宋_GB2312" w:cs="仿宋_GB2312"/>
          <w:color w:val="000000"/>
          <w:kern w:val="0"/>
          <w:sz w:val="32"/>
          <w:szCs w:val="32"/>
        </w:rPr>
        <w:t>运行时</w:t>
      </w:r>
      <w:r>
        <w:rPr>
          <w:rFonts w:hint="eastAsia" w:ascii="仿宋_GB2312" w:hAnsi="仿宋_GB2312" w:eastAsia="仿宋_GB2312" w:cs="仿宋_GB2312"/>
          <w:color w:val="000000"/>
          <w:kern w:val="0"/>
          <w:sz w:val="32"/>
          <w:szCs w:val="32"/>
          <w:lang w:eastAsia="zh-CN"/>
        </w:rPr>
        <w:t>周围</w:t>
      </w:r>
      <w:r>
        <w:rPr>
          <w:rFonts w:hint="eastAsia" w:ascii="仿宋_GB2312" w:hAnsi="仿宋_GB2312" w:eastAsia="仿宋_GB2312" w:cs="仿宋_GB2312"/>
          <w:b w:val="0"/>
          <w:bCs w:val="0"/>
          <w:color w:val="000000"/>
          <w:kern w:val="0"/>
          <w:sz w:val="32"/>
          <w:szCs w:val="32"/>
          <w:lang w:eastAsia="zh-CN"/>
        </w:rPr>
        <w:t>区域</w:t>
      </w:r>
      <w:r>
        <w:rPr>
          <w:rFonts w:hint="eastAsia" w:ascii="仿宋_GB2312" w:hAnsi="仿宋_GB2312" w:eastAsia="仿宋_GB2312" w:cs="仿宋_GB2312"/>
          <w:color w:val="000000"/>
          <w:kern w:val="0"/>
          <w:sz w:val="32"/>
          <w:szCs w:val="32"/>
        </w:rPr>
        <w:t>和环境保护目标处的声环境满足《声环境质量标准》（GB3096-2008）中相</w:t>
      </w:r>
      <w:r>
        <w:rPr>
          <w:rFonts w:hint="eastAsia" w:ascii="仿宋_GB2312" w:hAnsi="仿宋_GB2312" w:eastAsia="仿宋_GB2312" w:cs="仿宋_GB2312"/>
          <w:color w:val="000000"/>
          <w:kern w:val="0"/>
          <w:sz w:val="32"/>
          <w:szCs w:val="32"/>
          <w:lang w:eastAsia="zh-CN"/>
        </w:rPr>
        <w:t>应</w:t>
      </w:r>
      <w:r>
        <w:rPr>
          <w:rFonts w:hint="eastAsia" w:ascii="仿宋_GB2312" w:hAnsi="仿宋_GB2312" w:eastAsia="仿宋_GB2312" w:cs="仿宋_GB2312"/>
          <w:color w:val="000000"/>
          <w:kern w:val="0"/>
          <w:sz w:val="32"/>
          <w:szCs w:val="32"/>
        </w:rPr>
        <w:t>功能区标准要求。</w:t>
      </w:r>
    </w:p>
    <w:p w14:paraId="3956F98A">
      <w:pPr>
        <w:pStyle w:val="3"/>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w:t>
      </w:r>
      <w:r>
        <w:rPr>
          <w:rFonts w:hint="eastAsia" w:ascii="仿宋_GB2312" w:hAnsi="仿宋_GB2312" w:eastAsia="仿宋_GB2312" w:cs="仿宋_GB2312"/>
          <w:color w:val="000000"/>
          <w:kern w:val="0"/>
          <w:sz w:val="32"/>
          <w:szCs w:val="32"/>
          <w:lang w:val="en-US" w:eastAsia="zh-CN"/>
        </w:rPr>
        <w:t>认真落实《报告表》中其他环境管理要求。</w:t>
      </w:r>
      <w:r>
        <w:rPr>
          <w:rFonts w:hint="eastAsia" w:ascii="仿宋_GB2312" w:hAnsi="仿宋_GB2312" w:eastAsia="仿宋_GB2312" w:cs="仿宋_GB2312"/>
          <w:color w:val="000000"/>
          <w:kern w:val="0"/>
          <w:sz w:val="32"/>
          <w:szCs w:val="32"/>
        </w:rPr>
        <w:t>如国家和地方另有更严格的相关法律法规、规章、标准、</w:t>
      </w:r>
      <w:r>
        <w:rPr>
          <w:rFonts w:hint="eastAsia" w:ascii="仿宋_GB2312" w:hAnsi="仿宋_GB2312" w:eastAsia="仿宋_GB2312" w:cs="仿宋_GB2312"/>
          <w:color w:val="000000"/>
          <w:kern w:val="0"/>
          <w:sz w:val="32"/>
          <w:szCs w:val="32"/>
          <w:shd w:val="clear" w:color="auto" w:fill="FFFFFF"/>
        </w:rPr>
        <w:t>生态环境部门监督管理、环境保护措施和环境保护管理</w:t>
      </w:r>
      <w:r>
        <w:rPr>
          <w:rFonts w:hint="eastAsia" w:ascii="仿宋_GB2312" w:hAnsi="仿宋_GB2312" w:eastAsia="仿宋_GB2312" w:cs="仿宋_GB2312"/>
          <w:color w:val="000000"/>
          <w:kern w:val="0"/>
          <w:sz w:val="32"/>
          <w:szCs w:val="32"/>
        </w:rPr>
        <w:t>等要求的，按最严格规定执行。</w:t>
      </w:r>
    </w:p>
    <w:p w14:paraId="27F45584">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rPr>
        <w:t>三、</w:t>
      </w:r>
      <w:r>
        <w:rPr>
          <w:rFonts w:hint="eastAsia" w:ascii="仿宋_GB2312" w:hAnsi="仿宋_GB2312" w:eastAsia="仿宋_GB2312" w:cs="仿宋_GB2312"/>
          <w:snapToGrid w:val="0"/>
          <w:color w:val="000000"/>
          <w:kern w:val="0"/>
          <w:sz w:val="32"/>
          <w:szCs w:val="32"/>
        </w:rPr>
        <w:t>严格执行建设项目环境保护“三同时”制度</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shd w:val="clear" w:color="auto" w:fill="FFFFFF"/>
        </w:rPr>
        <w:t>项目竣工后，须按规定开展环境保护设施竣工验收工作</w:t>
      </w:r>
      <w:r>
        <w:rPr>
          <w:rFonts w:hint="eastAsia" w:ascii="仿宋_GB2312" w:hAnsi="仿宋_GB2312" w:eastAsia="仿宋_GB2312" w:cs="仿宋_GB2312"/>
          <w:color w:val="000000"/>
          <w:kern w:val="0"/>
          <w:sz w:val="32"/>
          <w:szCs w:val="32"/>
          <w:shd w:val="clear" w:color="auto" w:fill="FFFFFF"/>
          <w:lang w:val="zh-CN" w:eastAsia="zh-CN"/>
        </w:rPr>
        <w:t>。</w:t>
      </w:r>
      <w:r>
        <w:rPr>
          <w:rFonts w:hint="eastAsia" w:ascii="仿宋_GB2312" w:hAnsi="仿宋_GB2312" w:eastAsia="仿宋_GB2312" w:cs="仿宋_GB2312"/>
          <w:color w:val="000000"/>
          <w:kern w:val="0"/>
          <w:sz w:val="32"/>
          <w:szCs w:val="32"/>
        </w:rPr>
        <w:t>验收合格后，项目方可正式投入生产或者使用；未经验收或者验收不合格的，不得投入生产或者使用。本项目环境影响评价文件经批准后，项目发生重大变动的，</w:t>
      </w:r>
      <w:r>
        <w:rPr>
          <w:rFonts w:hint="eastAsia" w:ascii="仿宋_GB2312" w:hAnsi="仿宋_GB2312" w:eastAsia="仿宋_GB2312" w:cs="仿宋_GB2312"/>
          <w:color w:val="000000"/>
          <w:kern w:val="0"/>
          <w:sz w:val="32"/>
          <w:szCs w:val="32"/>
          <w:shd w:val="clear" w:color="auto" w:fill="FFFFFF"/>
        </w:rPr>
        <w:t>应按照相关法律法规的规定和要求，</w:t>
      </w:r>
      <w:r>
        <w:rPr>
          <w:rFonts w:hint="eastAsia" w:ascii="仿宋_GB2312" w:hAnsi="仿宋_GB2312" w:eastAsia="仿宋_GB2312" w:cs="仿宋_GB2312"/>
          <w:color w:val="000000"/>
          <w:kern w:val="0"/>
          <w:sz w:val="32"/>
          <w:szCs w:val="32"/>
          <w:shd w:val="clear" w:color="auto" w:fill="FFFFFF"/>
          <w:lang w:eastAsia="zh-CN"/>
        </w:rPr>
        <w:t>依法依规</w:t>
      </w:r>
      <w:r>
        <w:rPr>
          <w:rFonts w:hint="eastAsia" w:ascii="仿宋_GB2312" w:hAnsi="仿宋_GB2312" w:eastAsia="仿宋_GB2312" w:cs="仿宋_GB2312"/>
          <w:color w:val="000000"/>
          <w:kern w:val="0"/>
          <w:sz w:val="32"/>
          <w:szCs w:val="32"/>
          <w:shd w:val="clear" w:color="auto" w:fill="FFFFFF"/>
        </w:rPr>
        <w:t>重新报批本项目环境影响评价文件</w:t>
      </w:r>
      <w:r>
        <w:rPr>
          <w:rFonts w:hint="eastAsia" w:ascii="仿宋_GB2312" w:hAnsi="仿宋_GB2312" w:eastAsia="仿宋_GB2312" w:cs="仿宋_GB2312"/>
          <w:color w:val="000000"/>
          <w:kern w:val="0"/>
          <w:sz w:val="32"/>
          <w:szCs w:val="32"/>
        </w:rPr>
        <w:t>。自批复之日起五年后方决定开工建设的，须将环评文件报行政审批部门重新审核。</w:t>
      </w:r>
    </w:p>
    <w:p w14:paraId="7457C3F7">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640" w:firstLineChars="200"/>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rPr>
        <w:t>四、你公司在接到本批复后</w:t>
      </w:r>
      <w:r>
        <w:rPr>
          <w:rFonts w:hint="eastAsia" w:ascii="仿宋_GB2312" w:hAnsi="仿宋_GB2312" w:eastAsia="仿宋_GB2312" w:cs="仿宋_GB2312"/>
          <w:color w:val="000000"/>
          <w:kern w:val="0"/>
          <w:sz w:val="32"/>
          <w:szCs w:val="32"/>
          <w:shd w:val="clear" w:color="auto" w:fill="FFFFFF"/>
        </w:rPr>
        <w:t>的10个工作日内</w:t>
      </w:r>
      <w:r>
        <w:rPr>
          <w:rFonts w:hint="eastAsia" w:ascii="仿宋_GB2312" w:hAnsi="仿宋_GB2312" w:eastAsia="仿宋_GB2312" w:cs="仿宋_GB2312"/>
          <w:color w:val="000000"/>
          <w:kern w:val="0"/>
          <w:sz w:val="32"/>
          <w:szCs w:val="32"/>
        </w:rPr>
        <w:t>，须将《报告表》及其批复文件送至生态环境行政主管部门备案，</w:t>
      </w:r>
      <w:r>
        <w:rPr>
          <w:rFonts w:hint="eastAsia" w:ascii="仿宋_GB2312" w:hAnsi="仿宋_GB2312" w:eastAsia="仿宋_GB2312" w:cs="仿宋_GB2312"/>
          <w:color w:val="000000"/>
          <w:kern w:val="0"/>
          <w:sz w:val="32"/>
          <w:szCs w:val="32"/>
          <w:shd w:val="clear" w:color="auto" w:fill="FFFFFF"/>
        </w:rPr>
        <w:t>并按规定接受各级生态环境行政主管部门的监督检查。</w:t>
      </w:r>
    </w:p>
    <w:p w14:paraId="037B0111">
      <w:pPr>
        <w:pStyle w:val="2"/>
        <w:keepNext w:val="0"/>
        <w:keepLines w:val="0"/>
        <w:pageBreakBefore w:val="0"/>
        <w:widowControl w:val="0"/>
        <w:suppressLineNumbers w:val="0"/>
        <w:suppressAutoHyphens w:val="0"/>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eastAsia"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五、本批复只适用于以上核与辐射类建设项目，其他如涉及非核与辐射类建设项目须按有关规定另行办理相关环保手续。</w:t>
      </w:r>
    </w:p>
    <w:p w14:paraId="431BCE89">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leftChars="0" w:firstLine="5440" w:firstLineChars="1700"/>
        <w:textAlignment w:val="auto"/>
        <w:rPr>
          <w:rFonts w:hint="eastAsia" w:ascii="仿宋_GB2312" w:hAnsi="仿宋_GB2312" w:eastAsia="仿宋_GB2312" w:cs="仿宋_GB2312"/>
          <w:color w:val="000000"/>
          <w:kern w:val="0"/>
          <w:sz w:val="32"/>
          <w:szCs w:val="32"/>
          <w:shd w:val="clear" w:color="auto" w:fill="FFFFFF"/>
        </w:rPr>
      </w:pPr>
    </w:p>
    <w:p w14:paraId="6801B351">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leftChars="0" w:firstLine="5440" w:firstLineChars="1700"/>
        <w:textAlignment w:val="auto"/>
        <w:rPr>
          <w:rFonts w:hint="eastAsia" w:ascii="仿宋_GB2312" w:hAnsi="仿宋_GB2312" w:eastAsia="仿宋_GB2312" w:cs="仿宋_GB2312"/>
          <w:color w:val="000000"/>
          <w:kern w:val="0"/>
          <w:sz w:val="32"/>
          <w:szCs w:val="32"/>
          <w:shd w:val="clear" w:color="auto" w:fill="FFFFFF"/>
        </w:rPr>
      </w:pPr>
    </w:p>
    <w:p w14:paraId="5B795401">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Chars="0" w:firstLine="5440" w:firstLineChars="1700"/>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秦皇岛市行政审批局</w:t>
      </w:r>
    </w:p>
    <w:p w14:paraId="5DCF7731">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Chars="0" w:firstLine="5760" w:firstLineChars="18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202</w:t>
      </w:r>
      <w:r>
        <w:rPr>
          <w:rFonts w:hint="eastAsia" w:ascii="仿宋_GB2312" w:hAnsi="仿宋_GB2312" w:eastAsia="仿宋_GB2312" w:cs="仿宋_GB2312"/>
          <w:color w:val="000000"/>
          <w:kern w:val="0"/>
          <w:sz w:val="32"/>
          <w:szCs w:val="32"/>
          <w:shd w:val="clear" w:color="auto" w:fill="FFFFFF"/>
          <w:lang w:val="en-US" w:eastAsia="zh-CN"/>
        </w:rPr>
        <w:t>6</w:t>
      </w:r>
      <w:r>
        <w:rPr>
          <w:rFonts w:hint="eastAsia" w:ascii="仿宋_GB2312" w:hAnsi="仿宋_GB2312" w:eastAsia="仿宋_GB2312" w:cs="仿宋_GB2312"/>
          <w:color w:val="000000"/>
          <w:kern w:val="0"/>
          <w:sz w:val="32"/>
          <w:szCs w:val="32"/>
          <w:shd w:val="clear" w:color="auto" w:fill="FFFFFF"/>
        </w:rPr>
        <w:t>年</w:t>
      </w:r>
      <w:r>
        <w:rPr>
          <w:rFonts w:hint="eastAsia" w:ascii="仿宋_GB2312" w:hAnsi="仿宋_GB2312" w:eastAsia="仿宋_GB2312" w:cs="仿宋_GB2312"/>
          <w:color w:val="000000"/>
          <w:kern w:val="0"/>
          <w:sz w:val="32"/>
          <w:szCs w:val="32"/>
          <w:shd w:val="clear" w:color="auto" w:fill="FFFFFF"/>
          <w:lang w:val="en-US" w:eastAsia="zh-CN"/>
        </w:rPr>
        <w:t>3</w:t>
      </w:r>
      <w:r>
        <w:rPr>
          <w:rFonts w:hint="eastAsia" w:ascii="仿宋_GB2312" w:hAnsi="仿宋_GB2312" w:eastAsia="仿宋_GB2312" w:cs="仿宋_GB2312"/>
          <w:color w:val="000000"/>
          <w:kern w:val="0"/>
          <w:sz w:val="32"/>
          <w:szCs w:val="32"/>
          <w:shd w:val="clear" w:color="auto" w:fill="FFFFFF"/>
        </w:rPr>
        <w:t>月</w:t>
      </w:r>
      <w:r>
        <w:rPr>
          <w:rFonts w:hint="eastAsia" w:ascii="仿宋_GB2312" w:hAnsi="仿宋_GB2312" w:eastAsia="仿宋_GB2312" w:cs="仿宋_GB2312"/>
          <w:color w:val="000000"/>
          <w:kern w:val="0"/>
          <w:sz w:val="32"/>
          <w:szCs w:val="32"/>
          <w:shd w:val="clear" w:color="auto" w:fill="FFFFFF"/>
          <w:lang w:val="en-US" w:eastAsia="zh-CN"/>
        </w:rPr>
        <w:t>9</w:t>
      </w:r>
      <w:r>
        <w:rPr>
          <w:rFonts w:hint="eastAsia" w:ascii="仿宋_GB2312" w:hAnsi="仿宋_GB2312" w:eastAsia="仿宋_GB2312" w:cs="仿宋_GB2312"/>
          <w:color w:val="000000"/>
          <w:kern w:val="0"/>
          <w:sz w:val="32"/>
          <w:szCs w:val="32"/>
          <w:shd w:val="clear" w:color="auto" w:fill="FFFFFF"/>
        </w:rPr>
        <w:t>日</w:t>
      </w:r>
    </w:p>
    <w:sectPr>
      <w:footerReference r:id="rId3" w:type="default"/>
      <w:pgSz w:w="11907" w:h="16840"/>
      <w:pgMar w:top="2098" w:right="1474" w:bottom="1985" w:left="1588" w:header="851" w:footer="992" w:gutter="0"/>
      <w:pgNumType w:fmt="numberInDash"/>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E8BC6">
    <w:pPr>
      <w:pStyle w:val="9"/>
    </w:pPr>
    <w:r>
      <mc:AlternateContent>
        <mc:Choice Requires="wps">
          <w:drawing>
            <wp:anchor distT="0" distB="0" distL="113030" distR="113030" simplePos="0" relativeHeight="251659264" behindDoc="0" locked="0" layoutInCell="1" allowOverlap="1">
              <wp:simplePos x="0" y="0"/>
              <wp:positionH relativeFrom="margin">
                <wp:align>outside</wp:align>
              </wp:positionH>
              <wp:positionV relativeFrom="paragraph">
                <wp:posOffset>0</wp:posOffset>
              </wp:positionV>
              <wp:extent cx="444500" cy="230505"/>
              <wp:effectExtent l="0" t="0" r="0" b="0"/>
              <wp:wrapNone/>
              <wp:docPr id="1" name="_x0000_s2050"/>
              <wp:cNvGraphicFramePr/>
              <a:graphic xmlns:a="http://schemas.openxmlformats.org/drawingml/2006/main">
                <a:graphicData uri="http://schemas.microsoft.com/office/word/2010/wordprocessingShape">
                  <wps:wsp>
                    <wps:cNvSpPr/>
                    <wps:spPr>
                      <a:xfrm>
                        <a:off x="0" y="0"/>
                        <a:ext cx="444500" cy="230250"/>
                      </a:xfrm>
                      <a:prstGeom prst="rect">
                        <a:avLst/>
                      </a:prstGeom>
                      <a:noFill/>
                      <a:ln w="9525" cap="flat" cmpd="sng">
                        <a:noFill/>
                        <a:prstDash val="solid"/>
                        <a:miter/>
                      </a:ln>
                    </wps:spPr>
                    <wps:txbx>
                      <w:txbxContent>
                        <w:p w14:paraId="103017F9">
                          <w:pPr>
                            <w:pStyle w:val="9"/>
                            <w:rPr>
                              <w:rFonts w:ascii="宋体" w:cs="宋体"/>
                              <w:sz w:val="28"/>
                              <w:szCs w:val="28"/>
                            </w:rPr>
                          </w:pP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ascii="宋体" w:cs="宋体"/>
                              <w:sz w:val="28"/>
                              <w:szCs w:val="28"/>
                            </w:rPr>
                            <w:t>- 3 -</w:t>
                          </w:r>
                          <w:r>
                            <w:rPr>
                              <w:rFonts w:hint="eastAsia" w:ascii="宋体" w:cs="宋体"/>
                              <w:sz w:val="28"/>
                              <w:szCs w:val="28"/>
                            </w:rPr>
                            <w:fldChar w:fldCharType="end"/>
                          </w:r>
                        </w:p>
                      </w:txbxContent>
                    </wps:txbx>
                    <wps:bodyPr vert="horz" wrap="none" lIns="0" tIns="0" rIns="0" bIns="0" anchor="t" anchorCtr="0" upright="1">
                      <a:spAutoFit/>
                    </wps:bodyPr>
                  </wps:wsp>
                </a:graphicData>
              </a:graphic>
            </wp:anchor>
          </w:drawing>
        </mc:Choice>
        <mc:Fallback>
          <w:pict>
            <v:rect id="_x0000_s2050" o:spid="_x0000_s1026" o:spt="1" style="position:absolute;left:0pt;margin-top:0pt;height:18.15pt;width:35pt;mso-position-horizontal:outside;mso-position-horizontal-relative:margin;mso-wrap-style:none;z-index:251659264;mso-width-relative:page;mso-height-relative:page;" filled="f" stroked="f" coordsize="21600,21600" o:gfxdata="UEsDBAoAAAAAAIdO4kAAAAAAAAAAAAAAAAAEAAAAZHJzL1BLAwQUAAAACACHTuJArY8BwtEAAAAD&#10;AQAADwAAAGRycy9kb3ducmV2LnhtbE2PzWrDMBCE74W8g9hAb42UBNLgWs6hEEhKL3H6AIq1/qHS&#10;ykhKnL59t720l4Fhlplvy93dO3HDmIZAGpYLBQKpCXagTsPHef+0BZGyIWtcINTwhQl21eyhNIUN&#10;E53wVudOcAmlwmjocx4LKVPTozdpEUYkztoQvclsYydtNBOXeydXSm2kNwPxQm9GfO2x+ayvXoM8&#10;1/tpW7uowtuqfXfHw6nFoPXjfKleQGS8579j+MFndKiY6RKuZJNwGviR/KucPSt2Fw3rzRpkVcr/&#10;7NU3UEsDBBQAAAAIAIdO4kDjmeqi9QEAAPUDAAAOAAAAZHJzL2Uyb0RvYy54bWytU02P0zAQvSPx&#10;HyzfadLQIqiarhDVIiQEKy2cV67jNJbiD3ncJuXX8+z0Y7Vc9kAOyTgev5n35nl9N5qeHVUg7WzN&#10;57OSM2Wla7Td1/z3r/t3HzmjKGwjemdVzU+K+N3m7Zv14Feqcp3rGxUYQCytBl/zLka/KgqSnTKC&#10;Zs4ri83WBSMilmFfNEEMQDd9UZXlh2JwofHBSUWEv9tpk58Rw2sAXdtqqbZOHoyycUINqhcRlKjT&#10;nvgmd9u2SsafbUsqsr7mYBrzG0UQ79K72KzFah+E77Q8tyBe08ILTkZoi6JXqK2Igh2C/gfKaBkc&#10;uTbOpDPFRCQrAhbz8oU2j53wKnOB1OSvotP/g5U/jg+B6QZO4MwKg4E/jSWeJ6rKZdZn8LRC2qN/&#10;CFArrQhhIju2waQvaLAxa3q6aqrGyCR+LhaLZQm1Jbaq92U1YRa3wz5Q/KqcYSmoecDIspLi+J0i&#10;CiL1kpJqWXev+z6PrbdsqPmnZbUEvIAVW1gAofGgQ3afYZ7lJ5itoI4dBdxArtfNNH+jo0rcUKq3&#10;+Nw4piiOu/FMfOeaE+TC7UGnnQt/OBvgnZpbXBXO+m8Wo0k2uwThEuwugbASB2uORqfwS5zsePBB&#10;7zvgznPf5D8fIrhmCVIbU+1zd3BDbvfs3GS35+ucdbutm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tjwHC0QAAAAMBAAAPAAAAAAAAAAEAIAAAACIAAABkcnMvZG93bnJldi54bWxQSwECFAAUAAAA&#10;CACHTuJA45nqovUBAAD1AwAADgAAAAAAAAABACAAAAAgAQAAZHJzL2Uyb0RvYy54bWxQSwUGAAAA&#10;AAYABgBZAQAAhwUAAAAA&#10;">
              <v:fill on="f" focussize="0,0"/>
              <v:stroke on="f" joinstyle="miter"/>
              <v:imagedata o:title=""/>
              <o:lock v:ext="edit" aspectratio="f"/>
              <v:textbox inset="0mm,0mm,0mm,0mm" style="mso-fit-shape-to-text:t;">
                <w:txbxContent>
                  <w:p w14:paraId="103017F9">
                    <w:pPr>
                      <w:pStyle w:val="9"/>
                      <w:rPr>
                        <w:rFonts w:ascii="宋体" w:cs="宋体"/>
                        <w:sz w:val="28"/>
                        <w:szCs w:val="28"/>
                      </w:rPr>
                    </w:pP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ascii="宋体" w:cs="宋体"/>
                        <w:sz w:val="28"/>
                        <w:szCs w:val="28"/>
                      </w:rPr>
                      <w:t>- 3 -</w:t>
                    </w:r>
                    <w:r>
                      <w:rPr>
                        <w:rFonts w:hint="eastAsia" w:ascii="宋体" w:cs="宋体"/>
                        <w:sz w:val="28"/>
                        <w:szCs w:val="28"/>
                      </w:rPr>
                      <w:fldChar w:fldCharType="end"/>
                    </w:r>
                  </w:p>
                </w:txbxContent>
              </v:textbox>
            </v:rect>
          </w:pict>
        </mc:Fallback>
      </mc:AlternateContent>
    </w:r>
    <w:r>
      <mc:AlternateContent>
        <mc:Choice Requires="wps">
          <w:drawing>
            <wp:anchor distT="0" distB="0" distL="113030" distR="113030" simplePos="0" relativeHeight="251659264" behindDoc="0" locked="0" layoutInCell="1" allowOverlap="1">
              <wp:simplePos x="0" y="0"/>
              <wp:positionH relativeFrom="margin">
                <wp:align>outside</wp:align>
              </wp:positionH>
              <wp:positionV relativeFrom="paragraph">
                <wp:posOffset>0</wp:posOffset>
              </wp:positionV>
              <wp:extent cx="76200" cy="139700"/>
              <wp:effectExtent l="0" t="0" r="0" b="0"/>
              <wp:wrapNone/>
              <wp:docPr id="4" name="_x0000_s2049"/>
              <wp:cNvGraphicFramePr/>
              <a:graphic xmlns:a="http://schemas.openxmlformats.org/drawingml/2006/main">
                <a:graphicData uri="http://schemas.microsoft.com/office/word/2010/wordprocessingShape">
                  <wps:wsp>
                    <wps:cNvSpPr/>
                    <wps:spPr>
                      <a:xfrm>
                        <a:off x="0" y="0"/>
                        <a:ext cx="76200" cy="139526"/>
                      </a:xfrm>
                      <a:prstGeom prst="rect">
                        <a:avLst/>
                      </a:prstGeom>
                      <a:noFill/>
                      <a:ln w="9525" cap="flat" cmpd="sng">
                        <a:noFill/>
                        <a:prstDash val="solid"/>
                        <a:miter/>
                      </a:ln>
                    </wps:spPr>
                    <wps:txbx>
                      <w:txbxContent>
                        <w:p w14:paraId="0C79C373">
                          <w:pPr>
                            <w:pStyle w:val="9"/>
                          </w:pPr>
                        </w:p>
                      </w:txbxContent>
                    </wps:txbx>
                    <wps:bodyPr vert="horz" wrap="none" lIns="0" tIns="0" rIns="0" bIns="0" anchor="t" anchorCtr="0" upright="1">
                      <a:spAutoFit/>
                    </wps:bodyPr>
                  </wps:wsp>
                </a:graphicData>
              </a:graphic>
            </wp:anchor>
          </w:drawing>
        </mc:Choice>
        <mc:Fallback>
          <w:pict>
            <v:rect id="_x0000_s2049" o:spid="_x0000_s1026" o:spt="1" style="position:absolute;left:0pt;margin-top:0pt;height:11pt;width:6pt;mso-position-horizontal:outside;mso-position-horizontal-relative:margin;mso-wrap-style:none;z-index:251659264;mso-width-relative:page;mso-height-relative:page;" filled="f" stroked="f" coordsize="21600,21600" o:gfxdata="UEsDBAoAAAAAAIdO4kAAAAAAAAAAAAAAAAAEAAAAZHJzL1BLAwQUAAAACACHTuJAYEtqIs8AAAAD&#10;AQAADwAAAGRycy9kb3ducmV2LnhtbE2PzWrDMBCE74W+g9hCb40UH0pwLOdQCLQllzh9AMVa/1Bp&#10;ZSQlTt8+m1zSyy7DLLPfVJuLd+KMMY2BNCwXCgRSG+xIvYafw/ZtBSJlQ9a4QKjhDxNs6uenypQ2&#10;zLTHc5N7wSGUSqNhyHkqpUztgN6kRZiQ2OtC9CazjL200cwc7p0slHqX3ozEHwYz4ceA7W9z8hrk&#10;odnOq8ZFFb6Lbue+PvcdBq1fX5ZqDSLjJT+O4YbP6FAz0zGcyCbhNHCRfJ83r2B11FDwlnUl/7PX&#10;V1BLAwQUAAAACACHTuJAVj3COPYBAAD0AwAADgAAAGRycy9lMm9Eb2MueG1srVPLbtswELwX6D8Q&#10;vNeS3SRNBMtBUSNFgaINkPYc0BRlEeALXNqS+/UdSn4E6SWH6kANyeVwZ3a5vB+sYXsVSXtX8/ms&#10;5Ew56RvttjX//evhwy1nlIRrhPFO1fygiN+v3r9b9qFSC99506jIQOKo6kPNu5RCVRQkO2UFzXxQ&#10;Dputj1YkTOO2aKLowW5NsSjLm6L3sQnRS0WE1fW0yY+M8S2Evm21VGsvd1a5NLFGZUSCJOp0IL4a&#10;s21bJdPPtiWVmKk5lKZxxCXAmzwWq6WotlGETstjCuItKbzSZIV2uPRMtRZJsF3U/1BZLaMn36aZ&#10;9LaYhIyOQMW8fOXNUyeCGrXAagpn0+n/0cof+8fIdFPzK86csCj481Die6ZFeXWX/ekDVQh7Co/x&#10;OCPALHZoo81/yGDD6Onh7KkaEpNY/HSDonMmsTP/eHe9uMmUxeVsiJS+Km9ZBjWPqNhopNh/pzSF&#10;nkLyVc4/aGOwLirjWF9zUF6DXqATW3QAoA1QQ2470ryIzzRrQR3bCzQDeaObqfxWJ5WlISvj8MuC&#10;J4kZpWEzYDPDjW8OcAuPB5l2Pv7hrEfr1NzhpXBmvjlUJnfZCcQT2JyAcBIHa45EJ/glTd24C1Fv&#10;O/DOx7wpfN4laB0tuNx9zA7NMKZ7bNzcbS/nY9Tlsa7+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BLaiLPAAAAAwEAAA8AAAAAAAAAAQAgAAAAIgAAAGRycy9kb3ducmV2LnhtbFBLAQIUABQAAAAI&#10;AIdO4kBWPcI49gEAAPQDAAAOAAAAAAAAAAEAIAAAAB4BAABkcnMvZTJvRG9jLnhtbFBLBQYAAAAA&#10;BgAGAFkBAACGBQAAAAA=&#10;">
              <v:fill on="f" focussize="0,0"/>
              <v:stroke on="f" joinstyle="miter"/>
              <v:imagedata o:title=""/>
              <o:lock v:ext="edit" aspectratio="f"/>
              <v:textbox inset="0mm,0mm,0mm,0mm" style="mso-fit-shape-to-text:t;">
                <w:txbxContent>
                  <w:p w14:paraId="0C79C373">
                    <w:pPr>
                      <w:pStyle w:val="9"/>
                    </w:pP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DC57CB"/>
    <w:multiLevelType w:val="multilevel"/>
    <w:tmpl w:val="70DC57CB"/>
    <w:lvl w:ilvl="0" w:tentative="0">
      <w:start w:val="1"/>
      <w:numFmt w:val="chineseCountingThousand"/>
      <w:lvlText w:val="（%1）"/>
      <w:lvlJc w:val="left"/>
      <w:pPr>
        <w:ind w:left="1600" w:hanging="960"/>
      </w:pPr>
      <w:rPr>
        <w:rFonts w:hint="default" w:ascii="仿宋_GB2312" w:hAnsi="仿宋_GB2312" w:eastAsia="仿宋_GB2312" w:cs="仿宋_GB2312"/>
        <w:color w:val="000000"/>
        <w:sz w:val="32"/>
        <w:szCs w:val="3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7A1CC2F2"/>
    <w:multiLevelType w:val="multilevel"/>
    <w:tmpl w:val="7A1CC2F2"/>
    <w:lvl w:ilvl="0" w:tentative="0">
      <w:start w:val="1"/>
      <w:numFmt w:val="chineseCountingThousand"/>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2"/>
  </w:compat>
  <w:rsids>
    <w:rsidRoot w:val="00000000"/>
    <w:rsid w:val="0E72396F"/>
    <w:rsid w:val="11DA3D05"/>
    <w:rsid w:val="1F3A4035"/>
    <w:rsid w:val="2DF9330D"/>
    <w:rsid w:val="3D3D4FC4"/>
    <w:rsid w:val="42F36C2B"/>
    <w:rsid w:val="456841B6"/>
    <w:rsid w:val="4C263A09"/>
    <w:rsid w:val="56E30533"/>
    <w:rsid w:val="72404633"/>
    <w:rsid w:val="779276DF"/>
    <w:rsid w:val="7FA42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5"/>
    <w:qFormat/>
    <w:uiPriority w:val="0"/>
    <w:pPr>
      <w:keepNext/>
      <w:keepLines/>
      <w:widowControl w:val="0"/>
      <w:spacing w:before="340" w:after="330" w:line="578" w:lineRule="auto"/>
      <w:outlineLvl w:val="0"/>
    </w:pPr>
    <w:rPr>
      <w:b/>
      <w:bCs/>
      <w:kern w:val="44"/>
      <w:sz w:val="44"/>
      <w:szCs w:val="44"/>
    </w:rPr>
  </w:style>
  <w:style w:type="paragraph" w:styleId="5">
    <w:name w:val="heading 2"/>
    <w:basedOn w:val="1"/>
    <w:next w:val="1"/>
    <w:link w:val="16"/>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6">
    <w:name w:val="heading 3"/>
    <w:basedOn w:val="1"/>
    <w:next w:val="1"/>
    <w:link w:val="17"/>
    <w:qFormat/>
    <w:uiPriority w:val="0"/>
    <w:pPr>
      <w:keepNext/>
      <w:keepLines/>
      <w:widowControl w:val="0"/>
      <w:spacing w:before="260" w:after="260" w:line="415" w:lineRule="auto"/>
      <w:outlineLvl w:val="2"/>
    </w:pPr>
    <w:rPr>
      <w:b/>
      <w:bCs/>
      <w:sz w:val="32"/>
      <w:szCs w:val="32"/>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style>
  <w:style w:type="paragraph" w:styleId="3">
    <w:name w:val="toc 1"/>
    <w:basedOn w:val="1"/>
    <w:next w:val="1"/>
    <w:qFormat/>
    <w:uiPriority w:val="0"/>
  </w:style>
  <w:style w:type="paragraph" w:styleId="7">
    <w:name w:val="Body Text"/>
    <w:basedOn w:val="1"/>
    <w:next w:val="8"/>
    <w:qFormat/>
    <w:uiPriority w:val="0"/>
    <w:rPr>
      <w:sz w:val="28"/>
    </w:rPr>
  </w:style>
  <w:style w:type="paragraph" w:customStyle="1" w:styleId="8">
    <w:name w:val="默认段落"/>
    <w:qFormat/>
    <w:uiPriority w:val="0"/>
    <w:pPr>
      <w:widowControl w:val="0"/>
      <w:jc w:val="both"/>
    </w:pPr>
    <w:rPr>
      <w:rFonts w:ascii="Calibri" w:hAnsi="Calibri" w:eastAsia="宋体" w:cs="Times New Roman"/>
      <w:kern w:val="2"/>
      <w:sz w:val="21"/>
      <w:szCs w:val="20"/>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7"/>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kern w:val="0"/>
      <w:sz w:val="24"/>
    </w:rPr>
  </w:style>
  <w:style w:type="paragraph" w:styleId="12">
    <w:name w:val="Body Text First Indent"/>
    <w:basedOn w:val="1"/>
    <w:next w:val="3"/>
    <w:qFormat/>
    <w:uiPriority w:val="0"/>
    <w:pPr>
      <w:widowControl w:val="0"/>
      <w:spacing w:after="120"/>
      <w:ind w:firstLine="100" w:firstLineChars="100"/>
      <w:jc w:val="both"/>
    </w:pPr>
    <w:rPr>
      <w:rFonts w:ascii="Calibri" w:hAnsi="Calibri" w:eastAsia="宋体" w:cs="Times New Roman"/>
      <w:kern w:val="2"/>
      <w:sz w:val="21"/>
      <w:szCs w:val="24"/>
      <w:lang w:val="en-US" w:eastAsia="zh-CN" w:bidi="ar-SA"/>
    </w:rPr>
  </w:style>
  <w:style w:type="character" w:customStyle="1" w:styleId="15">
    <w:name w:val="heading 1 Char"/>
    <w:basedOn w:val="14"/>
    <w:link w:val="4"/>
    <w:qFormat/>
    <w:uiPriority w:val="0"/>
    <w:rPr>
      <w:rFonts w:ascii="Calibri" w:hAnsi="Calibri" w:eastAsia="宋体" w:cs="Times New Roman"/>
      <w:b/>
      <w:bCs/>
      <w:kern w:val="44"/>
      <w:sz w:val="44"/>
      <w:szCs w:val="44"/>
      <w:lang w:val="en-US" w:eastAsia="zh-CN" w:bidi="ar-SA"/>
    </w:rPr>
  </w:style>
  <w:style w:type="character" w:customStyle="1" w:styleId="16">
    <w:name w:val="heading 2 Char"/>
    <w:basedOn w:val="14"/>
    <w:link w:val="5"/>
    <w:qFormat/>
    <w:uiPriority w:val="0"/>
    <w:rPr>
      <w:rFonts w:ascii="Times New Roman" w:hAnsi="Times New Roman" w:eastAsia="黑体" w:cs="Times New Roman"/>
      <w:b/>
      <w:bCs/>
      <w:kern w:val="2"/>
      <w:sz w:val="32"/>
      <w:szCs w:val="32"/>
      <w:lang w:val="en-US" w:eastAsia="zh-CN" w:bidi="ar-SA"/>
    </w:rPr>
  </w:style>
  <w:style w:type="character" w:customStyle="1" w:styleId="17">
    <w:name w:val="heading 3 Char"/>
    <w:basedOn w:val="14"/>
    <w:link w:val="6"/>
    <w:qFormat/>
    <w:uiPriority w:val="0"/>
    <w:rPr>
      <w:rFonts w:ascii="Calibri" w:hAnsi="Calibri"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4CB305-AF23-4348-AA9D-59BFBF3ADD98}">
  <ds:schemaRefs/>
</ds:datastoreItem>
</file>

<file path=docProps/app.xml><?xml version="1.0" encoding="utf-8"?>
<Properties xmlns="http://schemas.openxmlformats.org/officeDocument/2006/extended-properties" xmlns:vt="http://schemas.openxmlformats.org/officeDocument/2006/docPropsVTypes">
  <Template>Normal.eit</Template>
  <Pages>3</Pages>
  <Words>1442</Words>
  <Characters>1530</Characters>
  <Lines>0</Lines>
  <Paragraphs>20</Paragraphs>
  <TotalTime>85</TotalTime>
  <ScaleCrop>false</ScaleCrop>
  <LinksUpToDate>false</LinksUpToDate>
  <CharactersWithSpaces>1531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2020-10-16T00:57:00Z</dcterms:created>
  <dc:creator>雯</dc:creator>
  <cp:lastModifiedBy>五花肉</cp:lastModifiedBy>
  <cp:lastPrinted>2025-03-21T02:17:00Z</cp:lastPrinted>
  <dcterms:modified xsi:type="dcterms:W3CDTF">2026-03-09T01:03:52Z</dcterms:modified>
  <dc:title> 秦审批环准许〔2024〕11-0000号</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DC23FABB74764184BB4085C229852EBA</vt:lpwstr>
  </property>
  <property fmtid="{D5CDD505-2E9C-101B-9397-08002B2CF9AE}" pid="4" name="KSOTemplateDocerSaveRecord">
    <vt:lpwstr>eyJoZGlkIjoiZWM5MTkyMmUxZDY3YTU1ZDM0MDYwZGM0ZTQ2OTdjNmQiLCJ1c2VySWQiOiIzNDI5MDEwMzkifQ==</vt:lpwstr>
  </property>
</Properties>
</file>