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B4AA">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eastAsia="仿宋" w:cs="Times New Roman"/>
          <w:b/>
          <w:bCs/>
          <w:kern w:val="0"/>
          <w:sz w:val="44"/>
          <w:szCs w:val="44"/>
        </w:rPr>
      </w:pPr>
      <w:r>
        <w:rPr>
          <w:rFonts w:hint="eastAsia" w:ascii="仿宋" w:eastAsia="仿宋" w:cs="Times New Roman"/>
          <w:sz w:val="32"/>
          <w:szCs w:val="32"/>
        </w:rPr>
        <w:t xml:space="preserve">     </w:t>
      </w:r>
    </w:p>
    <w:p w14:paraId="00CBB40A">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w:t>
      </w: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eastAsia="zh-CN"/>
        </w:rPr>
        <w:t>6</w:t>
      </w:r>
      <w:bookmarkStart w:id="0" w:name="_GoBack"/>
      <w:bookmarkEnd w:id="0"/>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lang w:val="en-US" w:eastAsia="zh-CN"/>
        </w:rPr>
        <w:t>09</w:t>
      </w:r>
      <w:r>
        <w:rPr>
          <w:rFonts w:hint="eastAsia" w:ascii="Times New Roman" w:hAnsi="Times New Roman" w:eastAsia="仿宋_GB2312" w:cs="仿宋_GB2312"/>
          <w:color w:val="auto"/>
          <w:sz w:val="32"/>
          <w:szCs w:val="32"/>
        </w:rPr>
        <w:t>号</w:t>
      </w:r>
    </w:p>
    <w:p w14:paraId="31DFE9AD">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b w:val="0"/>
          <w:bCs w:val="0"/>
          <w:kern w:val="44"/>
          <w:sz w:val="44"/>
          <w:szCs w:val="44"/>
        </w:rPr>
      </w:pPr>
      <w:r>
        <w:rPr>
          <w:rFonts w:hint="eastAsia" w:ascii="方正小标宋_GBK" w:hAnsi="方正小标宋_GBK" w:eastAsia="方正小标宋_GBK" w:cs="方正小标宋_GBK"/>
          <w:b w:val="0"/>
          <w:bCs w:val="0"/>
          <w:kern w:val="44"/>
          <w:sz w:val="44"/>
          <w:szCs w:val="44"/>
        </w:rPr>
        <w:t>关于</w:t>
      </w:r>
      <w:r>
        <w:rPr>
          <w:rFonts w:hint="default" w:ascii="方正小标宋_GBK" w:hAnsi="方正小标宋_GBK" w:eastAsia="方正小标宋_GBK" w:cs="方正小标宋_GBK"/>
          <w:b w:val="0"/>
          <w:bCs w:val="0"/>
          <w:kern w:val="44"/>
          <w:sz w:val="44"/>
          <w:szCs w:val="44"/>
          <w:lang w:val="en-US" w:eastAsia="zh-CN"/>
        </w:rPr>
        <w:t>龙源秦皇岛青龙15万千瓦风储一体化风力发电项目（一期10万千瓦）</w:t>
      </w:r>
      <w:r>
        <w:rPr>
          <w:rFonts w:hint="eastAsia" w:ascii="方正小标宋_GBK" w:hAnsi="方正小标宋_GBK" w:eastAsia="方正小标宋_GBK" w:cs="方正小标宋_GBK"/>
          <w:b w:val="0"/>
          <w:bCs w:val="0"/>
          <w:kern w:val="44"/>
          <w:sz w:val="44"/>
          <w:szCs w:val="44"/>
        </w:rPr>
        <w:t>环境影响</w:t>
      </w:r>
      <w:r>
        <w:rPr>
          <w:rFonts w:hint="eastAsia" w:ascii="方正小标宋_GBK" w:hAnsi="方正小标宋_GBK" w:eastAsia="方正小标宋_GBK" w:cs="方正小标宋_GBK"/>
          <w:b w:val="0"/>
          <w:bCs w:val="0"/>
          <w:kern w:val="44"/>
          <w:sz w:val="44"/>
          <w:szCs w:val="44"/>
          <w:lang w:eastAsia="zh-CN"/>
        </w:rPr>
        <w:t>报告书</w:t>
      </w:r>
      <w:r>
        <w:rPr>
          <w:rFonts w:hint="eastAsia" w:ascii="方正小标宋_GBK" w:hAnsi="方正小标宋_GBK" w:eastAsia="方正小标宋_GBK" w:cs="方正小标宋_GBK"/>
          <w:b w:val="0"/>
          <w:bCs w:val="0"/>
          <w:kern w:val="44"/>
          <w:sz w:val="44"/>
          <w:szCs w:val="44"/>
        </w:rPr>
        <w:t>的批复</w:t>
      </w:r>
    </w:p>
    <w:p w14:paraId="313950EC">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ascii="仿宋" w:eastAsia="仿宋" w:cs="Times New Roman"/>
          <w:sz w:val="32"/>
          <w:szCs w:val="32"/>
          <w:lang w:eastAsia="zh-CN"/>
        </w:rPr>
      </w:pPr>
    </w:p>
    <w:p w14:paraId="328DD000">
      <w:pPr>
        <w:keepNext w:val="0"/>
        <w:keepLines w:val="0"/>
        <w:pageBreakBefore w:val="0"/>
        <w:widowControl/>
        <w:kinsoku/>
        <w:wordWrap/>
        <w:overflowPunct/>
        <w:topLinePunct w:val="0"/>
        <w:autoSpaceDE/>
        <w:autoSpaceDN/>
        <w:bidi w:val="0"/>
        <w:adjustRightInd w:val="0"/>
        <w:snapToGrid w:val="0"/>
        <w:spacing w:line="560" w:lineRule="exact"/>
        <w:ind w:left="0" w:right="0"/>
        <w:textAlignment w:val="auto"/>
        <w:rPr>
          <w:rFonts w:hint="eastAsia" w:ascii="仿宋_GB2312" w:eastAsia="仿宋_GB2312" w:cs="仿宋_GB2312"/>
          <w:sz w:val="32"/>
          <w:szCs w:val="32"/>
        </w:rPr>
      </w:pPr>
      <w:r>
        <w:rPr>
          <w:rFonts w:hint="default" w:ascii="仿宋_GB2312" w:eastAsia="仿宋_GB2312" w:cs="仿宋_GB2312"/>
          <w:sz w:val="32"/>
          <w:szCs w:val="32"/>
          <w:lang w:val="en-US" w:eastAsia="zh-CN"/>
        </w:rPr>
        <w:t>青龙满族自治县龙源新能源有限公司</w:t>
      </w:r>
      <w:r>
        <w:rPr>
          <w:rFonts w:hint="eastAsia" w:ascii="仿宋_GB2312" w:eastAsia="仿宋_GB2312" w:cs="仿宋_GB2312"/>
          <w:sz w:val="32"/>
          <w:szCs w:val="32"/>
        </w:rPr>
        <w:t>：</w:t>
      </w:r>
    </w:p>
    <w:p w14:paraId="3F26DC2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s="仿宋_GB2312"/>
          <w:color w:val="auto"/>
          <w:kern w:val="0"/>
          <w:sz w:val="32"/>
          <w:szCs w:val="32"/>
          <w:lang w:val="en-US"/>
        </w:rPr>
      </w:pPr>
      <w:r>
        <w:rPr>
          <w:rFonts w:hint="eastAsia" w:ascii="仿宋_GB2312" w:eastAsia="仿宋_GB2312" w:cs="仿宋_GB2312"/>
          <w:color w:val="auto"/>
          <w:kern w:val="0"/>
          <w:sz w:val="32"/>
          <w:szCs w:val="32"/>
        </w:rPr>
        <w:t>所报《</w:t>
      </w:r>
      <w:r>
        <w:rPr>
          <w:rFonts w:hint="default" w:ascii="仿宋_GB2312" w:eastAsia="仿宋_GB2312" w:cs="仿宋_GB2312"/>
          <w:color w:val="auto"/>
          <w:kern w:val="0"/>
          <w:sz w:val="32"/>
          <w:szCs w:val="32"/>
          <w:lang w:val="en-US"/>
        </w:rPr>
        <w:t>龙源秦皇岛青龙15万千瓦风储一体化风力发电项目</w:t>
      </w:r>
    </w:p>
    <w:p w14:paraId="0603CEA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eastAsia="仿宋_GB2312" w:cs="仿宋_GB2312"/>
          <w:color w:val="auto"/>
          <w:kern w:val="0"/>
          <w:sz w:val="32"/>
          <w:szCs w:val="32"/>
        </w:rPr>
      </w:pPr>
      <w:r>
        <w:rPr>
          <w:rFonts w:hint="default" w:ascii="仿宋_GB2312" w:eastAsia="仿宋_GB2312" w:cs="仿宋_GB2312"/>
          <w:color w:val="auto"/>
          <w:kern w:val="0"/>
          <w:sz w:val="32"/>
          <w:szCs w:val="32"/>
          <w:lang w:val="en-US"/>
        </w:rPr>
        <w:t>（一期10万千瓦）</w:t>
      </w:r>
      <w:r>
        <w:rPr>
          <w:rFonts w:hint="eastAsia" w:ascii="仿宋_GB2312" w:eastAsia="仿宋_GB2312" w:cs="仿宋_GB2312"/>
          <w:color w:val="auto"/>
          <w:kern w:val="0"/>
          <w:sz w:val="32"/>
          <w:szCs w:val="32"/>
        </w:rPr>
        <w:t>环境影响报告书》（以下简称《报告书》）审批申请及相关材料收悉。根据环评报告书结论、专家意见，结合本项目环境影响特点及公示反馈等方面情况，经研究，现批复如下：</w:t>
      </w:r>
    </w:p>
    <w:p w14:paraId="4457B83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一、项目建设内容和总体要求</w:t>
      </w:r>
    </w:p>
    <w:p w14:paraId="628970B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该项目位于秦皇岛市青龙满族自治县祖山镇、安子岭乡、凤凰山乡，为新建项目，主要建设内容及规模为：拟建风力发电场一座，规划装机容量100MW，由16台单机容量6.25MW的风力发电机组成，年发电量约31504万kWh；新建1座220kV升压站（设置1台220/35kV主变，容量为100MVA），建筑面积515m</w:t>
      </w:r>
      <w:r>
        <w:rPr>
          <w:rFonts w:hint="eastAsia" w:ascii="仿宋_GB2312" w:eastAsia="仿宋_GB2312" w:cs="仿宋_GB2312"/>
          <w:color w:val="auto"/>
          <w:kern w:val="0"/>
          <w:sz w:val="32"/>
          <w:szCs w:val="32"/>
          <w:vertAlign w:val="superscript"/>
        </w:rPr>
        <w:t>2</w:t>
      </w:r>
      <w:r>
        <w:rPr>
          <w:rFonts w:hint="eastAsia" w:ascii="仿宋_GB2312" w:eastAsia="仿宋_GB2312" w:cs="仿宋_GB2312"/>
          <w:color w:val="auto"/>
          <w:kern w:val="0"/>
          <w:sz w:val="32"/>
          <w:szCs w:val="32"/>
        </w:rPr>
        <w:t>（生活舱187m</w:t>
      </w:r>
      <w:r>
        <w:rPr>
          <w:rFonts w:hint="eastAsia" w:ascii="仿宋_GB2312" w:eastAsia="仿宋_GB2312" w:cs="仿宋_GB2312"/>
          <w:color w:val="auto"/>
          <w:kern w:val="0"/>
          <w:sz w:val="32"/>
          <w:szCs w:val="32"/>
          <w:vertAlign w:val="superscript"/>
        </w:rPr>
        <w:t>2</w:t>
      </w:r>
      <w:r>
        <w:rPr>
          <w:rFonts w:hint="eastAsia" w:ascii="仿宋_GB2312" w:eastAsia="仿宋_GB2312" w:cs="仿宋_GB2312"/>
          <w:color w:val="auto"/>
          <w:kern w:val="0"/>
          <w:sz w:val="32"/>
          <w:szCs w:val="32"/>
        </w:rPr>
        <w:t>、配电预制仓156m</w:t>
      </w:r>
      <w:r>
        <w:rPr>
          <w:rFonts w:hint="eastAsia" w:ascii="仿宋_GB2312" w:eastAsia="仿宋_GB2312" w:cs="仿宋_GB2312"/>
          <w:color w:val="auto"/>
          <w:kern w:val="0"/>
          <w:sz w:val="32"/>
          <w:szCs w:val="32"/>
          <w:vertAlign w:val="superscript"/>
        </w:rPr>
        <w:t>2</w:t>
      </w:r>
      <w:r>
        <w:rPr>
          <w:rFonts w:hint="eastAsia" w:ascii="仿宋_GB2312" w:eastAsia="仿宋_GB2312" w:cs="仿宋_GB2312"/>
          <w:color w:val="auto"/>
          <w:kern w:val="0"/>
          <w:sz w:val="32"/>
          <w:szCs w:val="32"/>
        </w:rPr>
        <w:t>、主变基础130m</w:t>
      </w:r>
      <w:r>
        <w:rPr>
          <w:rFonts w:hint="eastAsia" w:ascii="仿宋_GB2312" w:eastAsia="仿宋_GB2312" w:cs="仿宋_GB2312"/>
          <w:color w:val="auto"/>
          <w:kern w:val="0"/>
          <w:sz w:val="32"/>
          <w:szCs w:val="32"/>
          <w:vertAlign w:val="superscript"/>
        </w:rPr>
        <w:t>2</w:t>
      </w:r>
      <w:r>
        <w:rPr>
          <w:rFonts w:hint="eastAsia" w:ascii="仿宋_GB2312" w:eastAsia="仿宋_GB2312" w:cs="仿宋_GB2312"/>
          <w:color w:val="auto"/>
          <w:kern w:val="0"/>
          <w:sz w:val="32"/>
          <w:szCs w:val="32"/>
        </w:rPr>
        <w:t>、SVG预制舱42m</w:t>
      </w:r>
      <w:r>
        <w:rPr>
          <w:rFonts w:hint="eastAsia" w:ascii="仿宋_GB2312" w:eastAsia="仿宋_GB2312" w:cs="仿宋_GB2312"/>
          <w:color w:val="auto"/>
          <w:kern w:val="0"/>
          <w:sz w:val="32"/>
          <w:szCs w:val="32"/>
          <w:vertAlign w:val="superscript"/>
        </w:rPr>
        <w:t>2</w:t>
      </w:r>
      <w:r>
        <w:rPr>
          <w:rFonts w:hint="eastAsia" w:ascii="仿宋_GB2312" w:eastAsia="仿宋_GB2312" w:cs="仿宋_GB2312"/>
          <w:color w:val="auto"/>
          <w:kern w:val="0"/>
          <w:sz w:val="32"/>
          <w:szCs w:val="32"/>
        </w:rPr>
        <w:t>）；35kV集电线路出线4回，采用架空线路架设，长度39km。</w:t>
      </w:r>
    </w:p>
    <w:p w14:paraId="3D996CE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项目总投资</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rPr>
        <w:t>50791.58万元，环保投资：200万元，环保投资比例：0.394%。</w:t>
      </w:r>
    </w:p>
    <w:p w14:paraId="1331588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项目属于《产业结构调整指导目录》（2024年本）中鼓励类；未列入《市场准入负面清单（2025年版）》市场准入负面清单。项目已</w:t>
      </w:r>
      <w:r>
        <w:rPr>
          <w:rFonts w:hint="eastAsia" w:ascii="仿宋_GB2312" w:eastAsia="仿宋_GB2312" w:cs="仿宋_GB2312"/>
          <w:color w:val="auto"/>
          <w:kern w:val="0"/>
          <w:sz w:val="32"/>
          <w:szCs w:val="32"/>
          <w:lang w:eastAsia="zh-CN"/>
        </w:rPr>
        <w:t>取得我</w:t>
      </w:r>
      <w:r>
        <w:rPr>
          <w:rFonts w:hint="eastAsia" w:ascii="仿宋_GB2312" w:eastAsia="仿宋_GB2312" w:cs="仿宋_GB2312"/>
          <w:color w:val="auto"/>
          <w:kern w:val="0"/>
          <w:sz w:val="32"/>
          <w:szCs w:val="32"/>
        </w:rPr>
        <w:t>局出具</w:t>
      </w:r>
      <w:r>
        <w:rPr>
          <w:rFonts w:hint="eastAsia" w:ascii="仿宋_GB2312" w:eastAsia="仿宋_GB2312" w:cs="仿宋_GB2312"/>
          <w:color w:val="auto"/>
          <w:kern w:val="0"/>
          <w:sz w:val="32"/>
          <w:szCs w:val="32"/>
          <w:lang w:eastAsia="zh-CN"/>
        </w:rPr>
        <w:t>的</w:t>
      </w:r>
      <w:r>
        <w:rPr>
          <w:rFonts w:hint="eastAsia" w:ascii="仿宋_GB2312" w:eastAsia="仿宋_GB2312" w:cs="仿宋_GB2312"/>
          <w:color w:val="auto"/>
          <w:kern w:val="0"/>
          <w:sz w:val="32"/>
          <w:szCs w:val="32"/>
        </w:rPr>
        <w:t>《关于龙源秦皇岛青龙15万千瓦风储一体化风力发电项目（一期10万千瓦）核准的批复》（核准文号：秦审批投〔2025〕07-0060号）</w:t>
      </w:r>
      <w:r>
        <w:rPr>
          <w:rFonts w:hint="eastAsia" w:ascii="仿宋_GB2312" w:eastAsia="仿宋_GB2312" w:cs="仿宋_GB2312"/>
          <w:color w:val="auto"/>
          <w:kern w:val="0"/>
          <w:sz w:val="32"/>
          <w:szCs w:val="32"/>
          <w:lang w:val="en-US" w:eastAsia="zh-CN"/>
        </w:rPr>
        <w:t>。</w:t>
      </w:r>
    </w:p>
    <w:p w14:paraId="700DB0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项目实施须符合规划环评、“三线一单”空间管控等要求;项目建设须符合城乡建设、土地利用、地方产业布局等相关规划要求。</w:t>
      </w:r>
    </w:p>
    <w:p w14:paraId="28CA9F0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该《报告书》已通过河北超泰环保科技有限公司评估，结合评估意见（超秦环评［202</w:t>
      </w:r>
      <w:r>
        <w:rPr>
          <w:rFonts w:hint="eastAsia" w:ascii="仿宋_GB2312" w:eastAsia="仿宋_GB2312" w:cs="仿宋_GB2312"/>
          <w:color w:val="auto"/>
          <w:kern w:val="0"/>
          <w:sz w:val="32"/>
          <w:szCs w:val="32"/>
          <w:lang w:val="en-US" w:eastAsia="zh-CN"/>
        </w:rPr>
        <w:t>6</w:t>
      </w:r>
      <w:r>
        <w:rPr>
          <w:rFonts w:hint="eastAsia" w:ascii="仿宋_GB2312" w:eastAsia="仿宋_GB2312" w:cs="仿宋_GB2312"/>
          <w:color w:val="auto"/>
          <w:kern w:val="0"/>
          <w:sz w:val="32"/>
          <w:szCs w:val="32"/>
        </w:rPr>
        <w:t>］01</w:t>
      </w:r>
      <w:r>
        <w:rPr>
          <w:rFonts w:hint="eastAsia" w:ascii="仿宋_GB2312" w:eastAsia="仿宋_GB2312" w:cs="仿宋_GB2312"/>
          <w:color w:val="auto"/>
          <w:kern w:val="0"/>
          <w:sz w:val="32"/>
          <w:szCs w:val="32"/>
          <w:lang w:val="en-US" w:eastAsia="zh-CN"/>
        </w:rPr>
        <w:t>4</w:t>
      </w:r>
      <w:r>
        <w:rPr>
          <w:rFonts w:hint="eastAsia" w:ascii="仿宋_GB2312" w:eastAsia="仿宋_GB2312" w:cs="仿宋_GB2312"/>
          <w:color w:val="auto"/>
          <w:kern w:val="0"/>
          <w:sz w:val="32"/>
          <w:szCs w:val="32"/>
        </w:rPr>
        <w:t>号）及本项目公众参与调查情况及其公示反馈情况，在项目符合国家和地方产业政策，选址符合用地规划及环境保护功能区划以及全面落实环境影响报告书提出的各项污染防治措施后，工程建设对环境的不利影响能够得到减缓和控制。我局原则同意环境影响报告书中所列建设项目的地点、性质、规模、工艺和拟采取的环境保护措施。</w:t>
      </w:r>
    </w:p>
    <w:p w14:paraId="65397A7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w:t>
      </w:r>
      <w:r>
        <w:rPr>
          <w:rFonts w:hint="eastAsia" w:ascii="仿宋_GB2312" w:eastAsia="仿宋_GB2312" w:cs="仿宋_GB2312"/>
          <w:color w:val="000000"/>
          <w:kern w:val="0"/>
          <w:sz w:val="32"/>
          <w:szCs w:val="32"/>
          <w:lang w:eastAsia="zh-CN"/>
        </w:rPr>
        <w:t>报告书</w:t>
      </w:r>
      <w:r>
        <w:rPr>
          <w:rFonts w:hint="eastAsia" w:ascii="仿宋_GB2312" w:eastAsia="仿宋_GB2312" w:cs="仿宋_GB2312"/>
          <w:color w:val="000000"/>
          <w:kern w:val="0"/>
          <w:sz w:val="32"/>
          <w:szCs w:val="32"/>
        </w:rPr>
        <w:t>》提出的各项污染防治措施，确保各治污设施正常运行，各种污染物达标排放，各项环保设施设计应当由具有环保设施工程设计资质的单位承担，按照要求认真落实各项污染防治措施，加强环保设施运营管理，确保满足相关要求，并重点做好以下工作：</w:t>
      </w:r>
    </w:p>
    <w:p w14:paraId="0F27460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（一）加强施工期环境管理，减少施工对环境的影响</w:t>
      </w:r>
    </w:p>
    <w:p w14:paraId="5CB3D43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项目施工期须严格落实生态环境保护措施。施工期应严格控制施工范围，科学规划布局施工场地，合理安排施工时间，减少对地表扰动、植被破坏以及野生动物栖息地的影响。做好土石方平衡、表土回覆，减少弃渣量，临时堆场设置围挡，并进行苫盖，施工结束后及时恢复土地原有功能，做好防风防沙措施，按《</w:t>
      </w:r>
      <w:r>
        <w:rPr>
          <w:rFonts w:hint="eastAsia" w:ascii="仿宋_GB2312" w:eastAsia="仿宋_GB2312" w:cs="仿宋_GB2312"/>
          <w:color w:val="000000"/>
          <w:kern w:val="0"/>
          <w:sz w:val="32"/>
          <w:szCs w:val="32"/>
          <w:lang w:eastAsia="zh-CN"/>
        </w:rPr>
        <w:t>报告书</w:t>
      </w:r>
      <w:r>
        <w:rPr>
          <w:rFonts w:hint="eastAsia" w:ascii="仿宋_GB2312" w:eastAsia="仿宋_GB2312" w:cs="仿宋_GB2312"/>
          <w:color w:val="000000"/>
          <w:kern w:val="0"/>
          <w:sz w:val="32"/>
          <w:szCs w:val="32"/>
        </w:rPr>
        <w:t>》要求做好生态恢复和水土流失防护措施。</w:t>
      </w:r>
    </w:p>
    <w:p w14:paraId="47EC901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建设及施工单位要严格执行《秦皇岛深入实施大气污染综合治理四十条措施》、《秦皇岛市扬尘综合整治专项实施方案》和《河北省扬尘污染防治办法》中有关施工扬尘的管理规定，同时结合《防治城市扬尘污染技术规范》(HJ/T393-2007)及同类施工场地采取的抑尘措施，落实各项控制扬尘污染措施，施工场地扬尘排放执行河北省地方标准《施工场地扬尘排放标准》（DB13/2934-2019）的要求。施工生活污水排入临时旱厕，定期清掏用作农肥</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施工期车辆冲洗废水经沉淀池处理后回用。项目采用低噪声施工机械，避免高噪声机械同时作业，合理安排施工时间及进度，禁止夜间施工，确需夜间施工的，须报经相关部门批准并告知周边村民，施工阶段作业噪声要满足《建筑施工噪声排放标准》（GB12523-2025）要求；施工期生活垃圾由环卫部门统一收集处置，建筑垃圾须依法依规进行处置。</w:t>
      </w:r>
    </w:p>
    <w:p w14:paraId="4850301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（二）加强运营期环保设施管理，认真落实各项污染防治措施，确保满足相关要求。</w:t>
      </w:r>
    </w:p>
    <w:p w14:paraId="6019231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1.本项目运营期废气主要为升压站食堂产生的油烟，油烟由油烟净化器处理后经专用排气筒排放</w:t>
      </w:r>
      <w:r>
        <w:rPr>
          <w:rFonts w:hint="eastAsia" w:ascii="仿宋_GB2312" w:eastAsia="仿宋_GB2312" w:cs="仿宋_GB2312"/>
          <w:color w:val="000000"/>
          <w:kern w:val="0"/>
          <w:sz w:val="32"/>
          <w:szCs w:val="32"/>
          <w:lang w:val="en-US" w:eastAsia="zh-CN"/>
        </w:rPr>
        <w:t>,食堂油烟须满足《餐饮业大气污染物排放标准》（DB13/5808-2023）小型食堂的标准要求</w:t>
      </w:r>
      <w:r>
        <w:rPr>
          <w:rFonts w:hint="eastAsia" w:ascii="仿宋_GB2312" w:eastAsia="仿宋_GB2312" w:cs="仿宋_GB2312"/>
          <w:color w:val="000000"/>
          <w:kern w:val="0"/>
          <w:sz w:val="32"/>
          <w:szCs w:val="32"/>
        </w:rPr>
        <w:t>。</w:t>
      </w:r>
    </w:p>
    <w:p w14:paraId="48D02CB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2.</w:t>
      </w:r>
      <w:r>
        <w:rPr>
          <w:rFonts w:hint="eastAsia" w:ascii="Times New Roman" w:hAnsi="Times New Roman" w:eastAsia="仿宋" w:cs="Times New Roman"/>
          <w:color w:val="auto"/>
          <w:sz w:val="32"/>
          <w:szCs w:val="32"/>
          <w:highlight w:val="none"/>
          <w:lang w:val="en-US" w:eastAsia="zh-CN"/>
        </w:rPr>
        <w:t>项目运营期</w:t>
      </w:r>
      <w:r>
        <w:rPr>
          <w:rFonts w:hint="eastAsia" w:ascii="仿宋_GB2312" w:eastAsia="仿宋_GB2312" w:cs="仿宋_GB2312"/>
          <w:color w:val="000000"/>
          <w:kern w:val="0"/>
          <w:sz w:val="32"/>
          <w:szCs w:val="32"/>
        </w:rPr>
        <w:t>升压站食堂废水经油水分离器处理后与其他生活污水经管道排入站内化粪池，定期清掏。</w:t>
      </w:r>
    </w:p>
    <w:p w14:paraId="5D56E3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3</w:t>
      </w:r>
      <w:r>
        <w:rPr>
          <w:rFonts w:hint="eastAsia" w:ascii="仿宋_GB2312" w:eastAsia="仿宋_GB2312" w:cs="仿宋_GB2312"/>
          <w:color w:val="000000"/>
          <w:kern w:val="0"/>
          <w:sz w:val="32"/>
          <w:szCs w:val="32"/>
        </w:rPr>
        <w:t>.严格落实噪声污染防治措施。</w:t>
      </w:r>
    </w:p>
    <w:p w14:paraId="7D67493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lang w:eastAsia="zh-CN"/>
        </w:rPr>
      </w:pPr>
      <w:r>
        <w:rPr>
          <w:rFonts w:hint="eastAsia" w:ascii="仿宋_GB2312" w:eastAsia="仿宋_GB2312" w:cs="仿宋_GB2312"/>
          <w:color w:val="000000"/>
          <w:kern w:val="0"/>
          <w:sz w:val="32"/>
          <w:szCs w:val="32"/>
        </w:rPr>
        <w:t>本项目采取各项降噪措施，严格控制生产过程产生的噪声对周围环境的影响。项目采用低噪声设备，</w:t>
      </w:r>
      <w:r>
        <w:rPr>
          <w:rFonts w:hint="eastAsia" w:ascii="仿宋_GB2312" w:eastAsia="仿宋_GB2312" w:cs="仿宋_GB2312"/>
          <w:color w:val="000000"/>
          <w:kern w:val="0"/>
          <w:sz w:val="32"/>
          <w:szCs w:val="32"/>
          <w:lang w:eastAsia="zh-CN"/>
        </w:rPr>
        <w:t>减震基础，加强维护等</w:t>
      </w:r>
      <w:r>
        <w:rPr>
          <w:rFonts w:hint="eastAsia" w:ascii="仿宋_GB2312" w:eastAsia="仿宋_GB2312" w:cs="仿宋_GB2312"/>
          <w:color w:val="000000"/>
          <w:kern w:val="0"/>
          <w:sz w:val="32"/>
          <w:szCs w:val="32"/>
        </w:rPr>
        <w:t>措施，项目实施后边界噪声须满足《工业企业厂界环境噪声排放标准》（GB12348-2008）1类标准要求</w:t>
      </w:r>
      <w:r>
        <w:rPr>
          <w:rFonts w:hint="eastAsia" w:ascii="仿宋_GB2312" w:eastAsia="仿宋_GB2312" w:cs="仿宋_GB2312"/>
          <w:color w:val="000000"/>
          <w:kern w:val="0"/>
          <w:sz w:val="32"/>
          <w:szCs w:val="32"/>
          <w:lang w:eastAsia="zh-CN"/>
        </w:rPr>
        <w:t>，周边敏感点须满足《声环境质量标准》（GB3096-2008）1类标准要求。</w:t>
      </w:r>
    </w:p>
    <w:p w14:paraId="5941330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4</w:t>
      </w:r>
      <w:r>
        <w:rPr>
          <w:rFonts w:hint="eastAsia" w:ascii="仿宋_GB2312" w:eastAsia="仿宋_GB2312" w:cs="仿宋_GB2312"/>
          <w:color w:val="000000"/>
          <w:kern w:val="0"/>
          <w:sz w:val="32"/>
          <w:szCs w:val="32"/>
        </w:rPr>
        <w:t>.严格落实固体废物污染防治措施。</w:t>
      </w:r>
    </w:p>
    <w:p w14:paraId="4B5F1EA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kern w:val="0"/>
          <w:sz w:val="32"/>
          <w:szCs w:val="32"/>
        </w:rPr>
      </w:pPr>
      <w:r>
        <w:rPr>
          <w:rFonts w:hint="eastAsia" w:ascii="仿宋_GB2312" w:eastAsia="仿宋_GB2312" w:cs="仿宋_GB2312"/>
          <w:color w:val="000000"/>
          <w:kern w:val="0"/>
          <w:sz w:val="32"/>
          <w:szCs w:val="32"/>
        </w:rPr>
        <w:t>本项目要严格落实固体废物分类处置和综合利用措施，认真落实《</w:t>
      </w:r>
      <w:r>
        <w:rPr>
          <w:rFonts w:hint="eastAsia" w:ascii="仿宋_GB2312" w:eastAsia="仿宋_GB2312" w:cs="仿宋_GB2312"/>
          <w:color w:val="000000"/>
          <w:kern w:val="0"/>
          <w:sz w:val="32"/>
          <w:szCs w:val="32"/>
          <w:lang w:eastAsia="zh-CN"/>
        </w:rPr>
        <w:t>报告书</w:t>
      </w:r>
      <w:r>
        <w:rPr>
          <w:rFonts w:hint="eastAsia" w:ascii="仿宋_GB2312" w:eastAsia="仿宋_GB2312" w:cs="仿宋_GB2312"/>
          <w:color w:val="000000"/>
          <w:kern w:val="0"/>
          <w:sz w:val="32"/>
          <w:szCs w:val="32"/>
        </w:rPr>
        <w:t>》规定的固体废物处理、处置措施。按照“资源化、减量化、无害化”的固废处置原则，实现综合利用。项目产生的固体废物主要为升压站职工生活垃圾、食堂产生的废油脂和餐厨垃圾以及油烟净化器清洗产生的清洗废液</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auto"/>
          <w:kern w:val="0"/>
          <w:sz w:val="32"/>
          <w:szCs w:val="32"/>
        </w:rPr>
        <w:t>废铅酸蓄电池、废润滑油和废油桶、含油抹布和手套以及事故状态下产生的主变事故油、箱变事故油。</w:t>
      </w:r>
    </w:p>
    <w:p w14:paraId="49CE248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lang w:eastAsia="zh-CN"/>
        </w:rPr>
      </w:pPr>
      <w:r>
        <w:rPr>
          <w:rFonts w:hint="eastAsia" w:ascii="仿宋_GB2312" w:eastAsia="仿宋_GB2312" w:cs="仿宋_GB2312"/>
          <w:color w:val="auto"/>
          <w:kern w:val="0"/>
          <w:sz w:val="32"/>
          <w:szCs w:val="32"/>
          <w:lang w:eastAsia="zh-CN"/>
        </w:rPr>
        <w:t>其中，</w:t>
      </w:r>
      <w:r>
        <w:rPr>
          <w:rFonts w:hint="eastAsia" w:ascii="仿宋_GB2312" w:eastAsia="仿宋_GB2312" w:cs="仿宋_GB2312"/>
          <w:color w:val="auto"/>
          <w:kern w:val="0"/>
          <w:sz w:val="32"/>
          <w:szCs w:val="32"/>
        </w:rPr>
        <w:t>一般固体废物主要为升压站职工生活垃圾、食堂产生的废油脂和餐厨垃圾以及油烟净化器清洗产生的清洗废液</w:t>
      </w:r>
      <w:r>
        <w:rPr>
          <w:rFonts w:hint="eastAsia" w:ascii="仿宋_GB2312" w:eastAsia="仿宋_GB2312" w:cs="仿宋_GB2312"/>
          <w:color w:val="auto"/>
          <w:kern w:val="0"/>
          <w:sz w:val="32"/>
          <w:szCs w:val="32"/>
          <w:lang w:eastAsia="zh-CN"/>
        </w:rPr>
        <w:t>，项目职工生活垃圾收集后由环卫部门统一清运，食堂产生的废油脂和餐厨垃圾交专业处理单位，油烟净化器清洗废液直接由清洗单位带走。</w:t>
      </w:r>
    </w:p>
    <w:p w14:paraId="6AF10CB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废铅酸蓄电池、废润滑油和废油桶、含油抹布和手套以及事故状态下产生的主变事故油、箱变事故油为危险废物，废铅蓄电池、废润滑油、废油桶、含油抹布和手套暂存于危废暂存间，定期委托有资质单位处置。主变事故油和箱变事故油由事故油池收集，及时委托有资质单位处置。</w:t>
      </w:r>
    </w:p>
    <w:p w14:paraId="731DC12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项目产生的危险废物及危废间建设须满足《危险废物贮存污染控制标准》（GB18597-2023）相关要求。</w:t>
      </w:r>
    </w:p>
    <w:p w14:paraId="51A97DC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val="en-US" w:eastAsia="zh-CN"/>
        </w:rPr>
        <w:t>5</w:t>
      </w:r>
      <w:r>
        <w:rPr>
          <w:rFonts w:hint="eastAsia" w:ascii="仿宋_GB2312" w:eastAsia="仿宋_GB2312" w:cs="仿宋_GB2312"/>
          <w:color w:val="000000"/>
          <w:kern w:val="0"/>
          <w:sz w:val="32"/>
          <w:szCs w:val="32"/>
        </w:rPr>
        <w:t>.本次评价内容和批复不包括辐射部分及场外出线线路。</w:t>
      </w:r>
    </w:p>
    <w:p w14:paraId="2A8EC37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pacing w:val="-6"/>
          <w:kern w:val="0"/>
          <w:sz w:val="32"/>
          <w:szCs w:val="32"/>
        </w:rPr>
      </w:pPr>
      <w:r>
        <w:rPr>
          <w:rFonts w:hint="eastAsia" w:ascii="仿宋_GB2312" w:eastAsia="仿宋_GB2312" w:cs="仿宋_GB2312"/>
          <w:color w:val="000000"/>
          <w:kern w:val="0"/>
          <w:sz w:val="32"/>
          <w:szCs w:val="32"/>
          <w:lang w:val="en-US" w:eastAsia="zh-CN"/>
        </w:rPr>
        <w:t>6</w:t>
      </w:r>
      <w:r>
        <w:rPr>
          <w:rFonts w:hint="eastAsia" w:ascii="仿宋_GB2312" w:eastAsia="仿宋_GB2312" w:cs="仿宋_GB2312"/>
          <w:color w:val="000000"/>
          <w:kern w:val="0"/>
          <w:sz w:val="32"/>
          <w:szCs w:val="32"/>
        </w:rPr>
        <w:t>.认真落实《</w:t>
      </w:r>
      <w:r>
        <w:rPr>
          <w:rFonts w:hint="eastAsia" w:ascii="仿宋_GB2312" w:eastAsia="仿宋_GB2312" w:cs="仿宋_GB2312"/>
          <w:color w:val="000000"/>
          <w:kern w:val="0"/>
          <w:sz w:val="32"/>
          <w:szCs w:val="32"/>
          <w:lang w:eastAsia="zh-CN"/>
        </w:rPr>
        <w:t>报告书</w:t>
      </w:r>
      <w:r>
        <w:rPr>
          <w:rFonts w:hint="eastAsia" w:ascii="仿宋_GB2312" w:eastAsia="仿宋_GB2312" w:cs="仿宋_GB2312"/>
          <w:color w:val="000000"/>
          <w:kern w:val="0"/>
          <w:sz w:val="32"/>
          <w:szCs w:val="32"/>
        </w:rPr>
        <w:t>》其他环境管理要求。</w:t>
      </w:r>
    </w:p>
    <w:p w14:paraId="6AA09FF5">
      <w:pPr>
        <w:keepNext w:val="0"/>
        <w:keepLines w:val="0"/>
        <w:pageBreakBefore w:val="0"/>
        <w:widowControl/>
        <w:kinsoku/>
        <w:wordWrap/>
        <w:overflowPunct/>
        <w:topLinePunct w:val="0"/>
        <w:autoSpaceDE/>
        <w:autoSpaceDN/>
        <w:bidi w:val="0"/>
        <w:adjustRightInd w:val="0"/>
        <w:snapToGrid w:val="0"/>
        <w:spacing w:line="560" w:lineRule="exact"/>
        <w:ind w:left="0" w:right="0" w:firstLine="616" w:firstLineChars="200"/>
        <w:textAlignment w:val="auto"/>
        <w:rPr>
          <w:rFonts w:hint="eastAsia" w:ascii="仿宋_GB2312" w:eastAsia="仿宋_GB2312" w:cs="仿宋_GB2312"/>
          <w:spacing w:val="-6"/>
          <w:sz w:val="32"/>
          <w:szCs w:val="32"/>
        </w:rPr>
      </w:pPr>
      <w:r>
        <w:rPr>
          <w:rFonts w:hint="eastAsia" w:ascii="仿宋_GB2312" w:eastAsia="仿宋_GB2312" w:cs="仿宋_GB2312"/>
          <w:spacing w:val="-6"/>
          <w:sz w:val="32"/>
          <w:szCs w:val="32"/>
          <w:lang w:eastAsia="zh-CN"/>
        </w:rPr>
        <w:t>三、</w:t>
      </w:r>
      <w:r>
        <w:rPr>
          <w:rFonts w:hint="eastAsia" w:asci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eastAsia="仿宋_GB2312" w:cs="仿宋_GB2312"/>
          <w:color w:val="000000"/>
          <w:kern w:val="0"/>
          <w:sz w:val="32"/>
          <w:szCs w:val="32"/>
        </w:rPr>
        <w:t>。加强风险源管控，严格落实《</w:t>
      </w:r>
      <w:r>
        <w:rPr>
          <w:rFonts w:hint="eastAsia" w:ascii="仿宋_GB2312" w:eastAsia="仿宋_GB2312" w:cs="仿宋_GB2312"/>
          <w:color w:val="000000"/>
          <w:kern w:val="0"/>
          <w:sz w:val="32"/>
          <w:szCs w:val="32"/>
          <w:lang w:eastAsia="zh-CN"/>
        </w:rPr>
        <w:t>报告书</w:t>
      </w:r>
      <w:r>
        <w:rPr>
          <w:rFonts w:hint="eastAsia" w:ascii="仿宋_GB2312" w:eastAsia="仿宋_GB2312" w:cs="仿宋_GB2312"/>
          <w:color w:val="000000"/>
          <w:kern w:val="0"/>
          <w:sz w:val="32"/>
          <w:szCs w:val="32"/>
        </w:rPr>
        <w:t>》中环境风险防范措施，</w:t>
      </w:r>
      <w:r>
        <w:rPr>
          <w:rFonts w:hint="default" w:ascii="仿宋_GB2312" w:eastAsia="仿宋_GB2312" w:cs="仿宋_GB2312"/>
          <w:color w:val="000000"/>
          <w:kern w:val="0"/>
          <w:sz w:val="32"/>
          <w:szCs w:val="32"/>
        </w:rPr>
        <w:t>落实</w:t>
      </w:r>
      <w:r>
        <w:rPr>
          <w:rFonts w:hint="eastAsia" w:ascii="仿宋_GB2312" w:eastAsia="仿宋_GB2312" w:cs="仿宋_GB2312"/>
          <w:color w:val="000000"/>
          <w:kern w:val="0"/>
          <w:sz w:val="32"/>
          <w:szCs w:val="32"/>
        </w:rPr>
        <w:t>突发环境事件应急</w:t>
      </w:r>
      <w:r>
        <w:rPr>
          <w:rFonts w:hint="eastAsia" w:ascii="仿宋_GB2312" w:eastAsia="仿宋_GB2312" w:cs="仿宋_GB2312"/>
          <w:color w:val="000000"/>
          <w:kern w:val="0"/>
          <w:sz w:val="32"/>
          <w:szCs w:val="32"/>
          <w:lang w:eastAsia="zh-CN"/>
        </w:rPr>
        <w:t>相</w:t>
      </w:r>
      <w:r>
        <w:rPr>
          <w:rFonts w:hint="default" w:ascii="仿宋_GB2312" w:eastAsia="仿宋_GB2312" w:cs="仿宋_GB2312"/>
          <w:color w:val="000000"/>
          <w:kern w:val="0"/>
          <w:sz w:val="32"/>
          <w:szCs w:val="32"/>
        </w:rPr>
        <w:t>关要求</w:t>
      </w:r>
      <w:r>
        <w:rPr>
          <w:rFonts w:hint="eastAsia" w:ascii="仿宋_GB2312" w:eastAsia="仿宋_GB2312" w:cs="仿宋_GB2312"/>
          <w:color w:val="000000"/>
          <w:kern w:val="0"/>
          <w:sz w:val="32"/>
          <w:szCs w:val="32"/>
        </w:rPr>
        <w:t>，并与当地政府及相关部门应急预案做好衔接，定期进行应急培训和</w:t>
      </w:r>
      <w:r>
        <w:rPr>
          <w:rFonts w:hint="eastAsia" w:ascii="仿宋_GB2312" w:eastAsia="仿宋_GB2312" w:cs="仿宋_GB2312"/>
          <w:spacing w:val="-6"/>
          <w:sz w:val="32"/>
          <w:szCs w:val="32"/>
        </w:rPr>
        <w:t>演练，有效防范和应对环境风险。</w:t>
      </w:r>
    </w:p>
    <w:p w14:paraId="5ABC9A21">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lang w:eastAsia="zh-CN"/>
        </w:rPr>
        <w:t>四、</w:t>
      </w:r>
      <w:r>
        <w:rPr>
          <w:rFonts w:hint="eastAsia" w:ascii="仿宋_GB2312" w:eastAsia="仿宋_GB2312" w:cs="仿宋_GB2312"/>
          <w:color w:val="000000"/>
          <w:kern w:val="0"/>
          <w:sz w:val="32"/>
          <w:szCs w:val="32"/>
        </w:rPr>
        <w:t>认真落实《</w:t>
      </w:r>
      <w:r>
        <w:rPr>
          <w:rFonts w:hint="eastAsia" w:ascii="仿宋_GB2312" w:eastAsia="仿宋_GB2312" w:cs="仿宋_GB2312"/>
          <w:color w:val="000000"/>
          <w:kern w:val="0"/>
          <w:sz w:val="32"/>
          <w:szCs w:val="32"/>
          <w:lang w:eastAsia="zh-CN"/>
        </w:rPr>
        <w:t>报告书</w:t>
      </w:r>
      <w:r>
        <w:rPr>
          <w:rFonts w:hint="eastAsia" w:ascii="仿宋_GB2312" w:eastAsia="仿宋_GB2312" w:cs="仿宋_GB2312"/>
          <w:color w:val="000000"/>
          <w:kern w:val="0"/>
          <w:sz w:val="32"/>
          <w:szCs w:val="32"/>
        </w:rPr>
        <w:t>》中规定的污染防治措施及清洁生产措施</w:t>
      </w:r>
      <w:r>
        <w:rPr>
          <w:rFonts w:hint="eastAsia" w:ascii="仿宋_GB2312" w:eastAsia="仿宋_GB2312" w:cs="仿宋_GB2312"/>
          <w:color w:val="000000"/>
          <w:kern w:val="0"/>
          <w:sz w:val="32"/>
          <w:szCs w:val="32"/>
          <w:lang w:eastAsia="zh-CN"/>
        </w:rPr>
        <w:t>，并完善排污许可的衔接工作</w:t>
      </w:r>
      <w:r>
        <w:rPr>
          <w:rFonts w:hint="eastAsia" w:ascii="仿宋_GB2312" w:eastAsia="仿宋_GB2312" w:cs="仿宋_GB2312"/>
          <w:color w:val="000000"/>
          <w:kern w:val="0"/>
          <w:sz w:val="32"/>
          <w:szCs w:val="32"/>
        </w:rPr>
        <w:t xml:space="preserve">。 </w:t>
      </w:r>
    </w:p>
    <w:p w14:paraId="41E2954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eastAsia="仿宋_GB2312" w:cs="仿宋_GB2312"/>
          <w:spacing w:val="-6"/>
          <w:sz w:val="32"/>
          <w:szCs w:val="32"/>
        </w:rPr>
      </w:pPr>
      <w:r>
        <w:rPr>
          <w:rFonts w:hint="eastAsia" w:ascii="仿宋_GB2312" w:eastAsia="仿宋_GB2312" w:cs="仿宋_GB2312"/>
          <w:color w:val="000000"/>
          <w:kern w:val="0"/>
          <w:sz w:val="32"/>
          <w:szCs w:val="32"/>
        </w:rPr>
        <w:t>五、</w:t>
      </w:r>
      <w:r>
        <w:rPr>
          <w:rFonts w:hint="eastAsia" w:asci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14:paraId="0B3EB329">
      <w:pPr>
        <w:keepNext w:val="0"/>
        <w:keepLines w:val="0"/>
        <w:pageBreakBefore w:val="0"/>
        <w:widowControl/>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eastAsia="仿宋_GB2312" w:cs="仿宋_GB2312"/>
          <w:spacing w:val="-6"/>
          <w:sz w:val="32"/>
          <w:szCs w:val="32"/>
        </w:rPr>
      </w:pPr>
      <w:r>
        <w:rPr>
          <w:rFonts w:hint="eastAsia" w:ascii="仿宋_GB2312" w:eastAsia="仿宋_GB2312" w:cs="仿宋_GB2312"/>
          <w:spacing w:val="-6"/>
          <w:sz w:val="32"/>
          <w:szCs w:val="32"/>
        </w:rPr>
        <w:t>六、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eastAsia="仿宋_GB2312" w:cs="仿宋_GB2312"/>
          <w:sz w:val="32"/>
          <w:szCs w:val="32"/>
        </w:rPr>
        <w:t>未经验收或者验收不合格的，不得投入生产或者使用</w:t>
      </w:r>
      <w:r>
        <w:rPr>
          <w:rFonts w:hint="eastAsia" w:asci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eastAsia="仿宋_GB2312" w:cs="仿宋_GB2312"/>
          <w:sz w:val="32"/>
          <w:szCs w:val="32"/>
        </w:rPr>
        <w:t>工程自批复之日起五年后方决定开工建设的，需将环评文件报我局重新审核。</w:t>
      </w:r>
    </w:p>
    <w:p w14:paraId="148AF38B">
      <w:pPr>
        <w:keepNext w:val="0"/>
        <w:keepLines w:val="0"/>
        <w:pageBreakBefore w:val="0"/>
        <w:widowControl/>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eastAsia="仿宋_GB2312" w:cs="仿宋_GB2312"/>
          <w:spacing w:val="-6"/>
          <w:sz w:val="32"/>
          <w:szCs w:val="32"/>
        </w:rPr>
      </w:pPr>
      <w:r>
        <w:rPr>
          <w:rFonts w:hint="eastAsia" w:ascii="仿宋_GB2312" w:eastAsia="仿宋_GB2312" w:cs="仿宋_GB2312"/>
          <w:spacing w:val="-6"/>
          <w:sz w:val="32"/>
          <w:szCs w:val="32"/>
          <w:lang w:eastAsia="zh-CN"/>
        </w:rPr>
        <w:t>七</w:t>
      </w:r>
      <w:r>
        <w:rPr>
          <w:rFonts w:hint="eastAsia" w:ascii="仿宋_GB2312" w:eastAsia="仿宋_GB2312" w:cs="仿宋_GB2312"/>
          <w:spacing w:val="-6"/>
          <w:sz w:val="32"/>
          <w:szCs w:val="32"/>
        </w:rPr>
        <w:t>、你单位在接到本批复后的10个工作日内，须将环评</w:t>
      </w:r>
      <w:r>
        <w:rPr>
          <w:rFonts w:hint="eastAsia" w:ascii="仿宋_GB2312" w:eastAsia="仿宋_GB2312" w:cs="仿宋_GB2312"/>
          <w:spacing w:val="-6"/>
          <w:sz w:val="32"/>
          <w:szCs w:val="32"/>
          <w:lang w:eastAsia="zh-CN"/>
        </w:rPr>
        <w:t>报告书</w:t>
      </w:r>
      <w:r>
        <w:rPr>
          <w:rFonts w:hint="eastAsia" w:ascii="仿宋_GB2312" w:eastAsia="仿宋_GB2312" w:cs="仿宋_GB2312"/>
          <w:spacing w:val="-6"/>
          <w:sz w:val="32"/>
          <w:szCs w:val="32"/>
        </w:rPr>
        <w:t>及其批复送秦皇岛市生态环境局</w:t>
      </w:r>
      <w:r>
        <w:rPr>
          <w:rFonts w:hint="default" w:ascii="仿宋_GB2312" w:eastAsia="仿宋_GB2312" w:cs="仿宋_GB2312"/>
          <w:spacing w:val="-6"/>
          <w:sz w:val="32"/>
          <w:szCs w:val="32"/>
          <w:lang w:val="en-US" w:eastAsia="zh-CN"/>
        </w:rPr>
        <w:t>青龙满族自治县</w:t>
      </w:r>
      <w:r>
        <w:rPr>
          <w:rFonts w:hint="eastAsia" w:ascii="仿宋_GB2312" w:eastAsia="仿宋_GB2312" w:cs="仿宋_GB2312"/>
          <w:spacing w:val="-6"/>
          <w:sz w:val="32"/>
          <w:szCs w:val="32"/>
          <w:lang w:eastAsia="zh-CN"/>
        </w:rPr>
        <w:t>分局</w:t>
      </w:r>
      <w:r>
        <w:rPr>
          <w:rFonts w:hint="eastAsia" w:ascii="仿宋_GB2312" w:eastAsia="仿宋_GB2312" w:cs="仿宋_GB2312"/>
          <w:spacing w:val="-6"/>
          <w:sz w:val="32"/>
          <w:szCs w:val="32"/>
        </w:rPr>
        <w:t>等相关部门，日常监督管理由秦皇岛市生态环境局</w:t>
      </w:r>
      <w:r>
        <w:rPr>
          <w:rFonts w:hint="default" w:ascii="仿宋_GB2312" w:eastAsia="仿宋_GB2312" w:cs="仿宋_GB2312"/>
          <w:spacing w:val="-6"/>
          <w:sz w:val="32"/>
          <w:szCs w:val="32"/>
          <w:lang w:val="en-US" w:eastAsia="zh-CN"/>
        </w:rPr>
        <w:t>青龙满族自治县</w:t>
      </w:r>
      <w:r>
        <w:rPr>
          <w:rFonts w:hint="eastAsia" w:ascii="仿宋_GB2312" w:eastAsia="仿宋_GB2312" w:cs="仿宋_GB2312"/>
          <w:spacing w:val="-6"/>
          <w:sz w:val="32"/>
          <w:szCs w:val="32"/>
          <w:lang w:eastAsia="zh-CN"/>
        </w:rPr>
        <w:t>分局</w:t>
      </w:r>
      <w:r>
        <w:rPr>
          <w:rFonts w:hint="eastAsia" w:ascii="仿宋_GB2312" w:eastAsia="仿宋_GB2312" w:cs="仿宋_GB2312"/>
          <w:spacing w:val="-6"/>
          <w:sz w:val="32"/>
          <w:szCs w:val="32"/>
        </w:rPr>
        <w:t>负责。建设单位须定期向秦皇岛市生态环境局</w:t>
      </w:r>
      <w:r>
        <w:rPr>
          <w:rFonts w:hint="default" w:ascii="仿宋_GB2312" w:eastAsia="仿宋_GB2312" w:cs="仿宋_GB2312"/>
          <w:spacing w:val="-6"/>
          <w:sz w:val="32"/>
          <w:szCs w:val="32"/>
          <w:lang w:val="en-US" w:eastAsia="zh-CN"/>
        </w:rPr>
        <w:t>青龙满族自治县</w:t>
      </w:r>
      <w:r>
        <w:rPr>
          <w:rFonts w:hint="eastAsia" w:ascii="仿宋_GB2312" w:eastAsia="仿宋_GB2312" w:cs="仿宋_GB2312"/>
          <w:spacing w:val="-6"/>
          <w:sz w:val="32"/>
          <w:szCs w:val="32"/>
          <w:lang w:eastAsia="zh-CN"/>
        </w:rPr>
        <w:t>分局</w:t>
      </w:r>
      <w:r>
        <w:rPr>
          <w:rFonts w:hint="eastAsia" w:ascii="仿宋_GB2312" w:eastAsia="仿宋_GB2312" w:cs="仿宋_GB2312"/>
          <w:spacing w:val="-6"/>
          <w:sz w:val="32"/>
          <w:szCs w:val="32"/>
        </w:rPr>
        <w:t xml:space="preserve">报告“三同时”完成情况。并按规定接受各级生态环境行政主管部门的日常监督检查。 </w:t>
      </w:r>
    </w:p>
    <w:p w14:paraId="6898D697">
      <w:pPr>
        <w:pStyle w:val="9"/>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eastAsia="仿宋_GB2312" w:cs="仿宋_GB2312"/>
          <w:color w:val="auto"/>
          <w:sz w:val="32"/>
          <w:szCs w:val="32"/>
        </w:rPr>
      </w:pPr>
    </w:p>
    <w:p w14:paraId="1F2BB0E9">
      <w:pPr>
        <w:pStyle w:val="8"/>
        <w:keepNext w:val="0"/>
        <w:keepLines w:val="0"/>
        <w:pageBreakBefore w:val="0"/>
        <w:widowControl/>
        <w:kinsoku/>
        <w:wordWrap/>
        <w:overflowPunct/>
        <w:topLinePunct w:val="0"/>
        <w:autoSpaceDE/>
        <w:autoSpaceDN/>
        <w:bidi w:val="0"/>
        <w:adjustRightInd w:val="0"/>
        <w:snapToGrid w:val="0"/>
        <w:spacing w:line="560" w:lineRule="exact"/>
        <w:ind w:firstLine="4800" w:firstLineChars="1500"/>
        <w:textAlignment w:val="auto"/>
        <w:outlineLvl w:val="9"/>
        <w:rPr>
          <w:rFonts w:hint="eastAsia" w:ascii="仿宋_GB2312" w:eastAsia="仿宋_GB2312" w:cs="仿宋_GB2312"/>
          <w:color w:val="auto"/>
          <w:sz w:val="32"/>
          <w:szCs w:val="32"/>
        </w:rPr>
      </w:pPr>
    </w:p>
    <w:p w14:paraId="65CBECE6">
      <w:pPr>
        <w:pStyle w:val="8"/>
        <w:keepNext w:val="0"/>
        <w:keepLines w:val="0"/>
        <w:pageBreakBefore w:val="0"/>
        <w:widowControl/>
        <w:kinsoku/>
        <w:wordWrap/>
        <w:overflowPunct/>
        <w:topLinePunct w:val="0"/>
        <w:autoSpaceDE/>
        <w:autoSpaceDN/>
        <w:bidi w:val="0"/>
        <w:adjustRightInd w:val="0"/>
        <w:snapToGrid w:val="0"/>
        <w:spacing w:line="560" w:lineRule="exact"/>
        <w:ind w:firstLine="4800" w:firstLineChars="15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秦皇岛市行政审批局</w:t>
      </w:r>
    </w:p>
    <w:p w14:paraId="7F941693">
      <w:pPr>
        <w:pStyle w:val="8"/>
        <w:keepNext w:val="0"/>
        <w:keepLines w:val="0"/>
        <w:pageBreakBefore w:val="0"/>
        <w:widowControl/>
        <w:kinsoku/>
        <w:wordWrap/>
        <w:overflowPunct/>
        <w:topLinePunct w:val="0"/>
        <w:autoSpaceDE/>
        <w:autoSpaceDN/>
        <w:bidi w:val="0"/>
        <w:adjustRightInd w:val="0"/>
        <w:snapToGrid w:val="0"/>
        <w:spacing w:line="560" w:lineRule="exact"/>
        <w:ind w:firstLine="5120" w:firstLineChars="160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日</w:t>
      </w:r>
    </w:p>
    <w:p w14:paraId="6093A320">
      <w:pPr>
        <w:pStyle w:val="8"/>
        <w:keepNext w:val="0"/>
        <w:keepLines w:val="0"/>
        <w:pageBreakBefore w:val="0"/>
        <w:kinsoku/>
        <w:wordWrap/>
        <w:overflowPunct/>
        <w:topLinePunct w:val="0"/>
        <w:autoSpaceDE/>
        <w:autoSpaceDN/>
        <w:bidi w:val="0"/>
        <w:spacing w:line="560" w:lineRule="exact"/>
        <w:textAlignment w:val="auto"/>
        <w:rPr>
          <w:rFonts w:hint="eastAsia"/>
        </w:rPr>
      </w:pPr>
    </w:p>
    <w:sectPr>
      <w:footerReference r:id="rId3" w:type="default"/>
      <w:pgSz w:w="11906" w:h="16838"/>
      <w:pgMar w:top="2098" w:right="1474" w:bottom="181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9F46">
    <w:pPr>
      <w:pStyle w:val="12"/>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14:paraId="525C3F93">
                          <w:pPr>
                            <w:pStyle w:val="12"/>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Mql5b4DAgAA9AMAAA4AAAAAAAAAAQAgAAAAJQEAAGRy&#10;cy9lMm9Eb2MueG1sUEsFBgAAAAAGAAYAWQEAAJoFAAAAAA==&#10;">
              <v:fill on="f" focussize="0,0"/>
              <v:stroke on="f" weight="0.5pt" joinstyle="round"/>
              <v:imagedata o:title=""/>
              <o:lock v:ext="edit" aspectratio="f"/>
              <v:textbox inset="0mm,0mm,0mm,0mm" style="mso-fit-shape-to-text:t;">
                <w:txbxContent>
                  <w:p w14:paraId="525C3F93">
                    <w:pPr>
                      <w:pStyle w:val="12"/>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TY0YmQwOTA5MjNiMmY2NmFkOWRlNzVkYWJkNmRmOTEifQ=="/>
  </w:docVars>
  <w:rsids>
    <w:rsidRoot w:val="00000000"/>
    <w:rsid w:val="13EF0163"/>
    <w:rsid w:val="17FFD268"/>
    <w:rsid w:val="38E8FF7B"/>
    <w:rsid w:val="3B7BA279"/>
    <w:rsid w:val="3EAEC414"/>
    <w:rsid w:val="3FDCD0B2"/>
    <w:rsid w:val="517FD314"/>
    <w:rsid w:val="5DABFE1E"/>
    <w:rsid w:val="67C391FA"/>
    <w:rsid w:val="67F5D0C5"/>
    <w:rsid w:val="6BEF7E63"/>
    <w:rsid w:val="6DFE3C95"/>
    <w:rsid w:val="6E7F5AAB"/>
    <w:rsid w:val="6FC8DCA8"/>
    <w:rsid w:val="76FBFB98"/>
    <w:rsid w:val="7BFF3E47"/>
    <w:rsid w:val="7E5FF721"/>
    <w:rsid w:val="7EF9645B"/>
    <w:rsid w:val="7F566ACC"/>
    <w:rsid w:val="DA6D7FDB"/>
    <w:rsid w:val="DEFAFC5B"/>
    <w:rsid w:val="DF313C62"/>
    <w:rsid w:val="DFF9CCD4"/>
    <w:rsid w:val="DFFDCA91"/>
    <w:rsid w:val="E5BFDE7D"/>
    <w:rsid w:val="EB6BB633"/>
    <w:rsid w:val="ED1F72E1"/>
    <w:rsid w:val="EF5DD791"/>
    <w:rsid w:val="F30E7119"/>
    <w:rsid w:val="F52FA40D"/>
    <w:rsid w:val="FA3BC21D"/>
    <w:rsid w:val="FBFBC3CF"/>
    <w:rsid w:val="FD959668"/>
    <w:rsid w:val="FFAF286F"/>
    <w:rsid w:val="FFBEC435"/>
    <w:rsid w:val="FFC7F166"/>
    <w:rsid w:val="FFF01BDE"/>
    <w:rsid w:val="FFFD6A7E"/>
    <w:rsid w:val="FFFDBA46"/>
    <w:rsid w:val="FFFFA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ascii="宋体" w:eastAsia="宋体" w:cs="宋体"/>
      <w:b/>
      <w:bCs/>
      <w:kern w:val="44"/>
      <w:sz w:val="48"/>
      <w:szCs w:val="48"/>
      <w:lang w:val="en-US" w:eastAsia="zh-CN"/>
    </w:rPr>
  </w:style>
  <w:style w:type="paragraph" w:styleId="6">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9"/>
    <w:qFormat/>
    <w:uiPriority w:val="0"/>
    <w:pPr>
      <w:adjustRightInd w:val="0"/>
      <w:snapToGrid w:val="0"/>
      <w:spacing w:line="360" w:lineRule="auto"/>
    </w:pPr>
    <w:rPr>
      <w:sz w:val="24"/>
    </w:rPr>
  </w:style>
  <w:style w:type="paragraph" w:styleId="9">
    <w:name w:val="toc 1"/>
    <w:basedOn w:val="1"/>
    <w:next w:val="1"/>
    <w:qFormat/>
    <w:uiPriority w:val="0"/>
    <w:pPr>
      <w:adjustRightInd w:val="0"/>
      <w:snapToGrid w:val="0"/>
      <w:spacing w:line="280" w:lineRule="exact"/>
      <w:jc w:val="center"/>
    </w:pPr>
    <w:rPr>
      <w:sz w:val="24"/>
      <w:szCs w:val="20"/>
    </w:rPr>
  </w:style>
  <w:style w:type="paragraph" w:styleId="10">
    <w:name w:val="Body Text"/>
    <w:basedOn w:val="1"/>
    <w:next w:val="11"/>
    <w:qFormat/>
    <w:uiPriority w:val="0"/>
    <w:pPr>
      <w:spacing w:line="240" w:lineRule="atLeast"/>
    </w:pPr>
    <w:rPr>
      <w:sz w:val="28"/>
    </w:rPr>
  </w:style>
  <w:style w:type="paragraph" w:customStyle="1" w:styleId="11">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4">
    <w:name w:val="Body Text First Indent"/>
    <w:basedOn w:val="10"/>
    <w:qFormat/>
    <w:uiPriority w:val="0"/>
    <w:pPr>
      <w:spacing w:after="120"/>
      <w:ind w:firstLine="100" w:firstLineChars="100"/>
    </w:pPr>
    <w:rPr>
      <w:sz w:val="21"/>
      <w:szCs w:val="24"/>
    </w:r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00"/>
      <w:u w:val="none"/>
    </w:rPr>
  </w:style>
  <w:style w:type="paragraph" w:customStyle="1" w:styleId="2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Default"/>
    <w:basedOn w:val="20"/>
    <w:qFormat/>
    <w:uiPriority w:val="0"/>
    <w:pPr>
      <w:widowControl w:val="0"/>
      <w:autoSpaceDE w:val="0"/>
      <w:autoSpaceDN w:val="0"/>
      <w:adjustRightInd w:val="0"/>
    </w:pPr>
    <w:rPr>
      <w:color w:val="000000"/>
      <w:sz w:val="24"/>
      <w:szCs w:val="24"/>
      <w:lang w:val="en-US" w:eastAsia="zh-CN" w:bidi="ar-SA"/>
    </w:rPr>
  </w:style>
  <w:style w:type="character" w:customStyle="1" w:styleId="22">
    <w:name w:val="NormalCharacter"/>
    <w:qFormat/>
    <w:uiPriority w:val="0"/>
    <w:rPr>
      <w:rFonts w:ascii="Times New Roman" w:hAnsi="Times New Roman" w:eastAsia="宋体"/>
    </w:rPr>
  </w:style>
  <w:style w:type="character" w:customStyle="1" w:styleId="23">
    <w:name w:val="cur1"/>
    <w:basedOn w:val="16"/>
    <w:qFormat/>
    <w:uiPriority w:val="0"/>
    <w:rPr>
      <w:color w:val="FFFFFF"/>
      <w:shd w:val="clear" w:color="auto" w:fill="2F6B98"/>
    </w:rPr>
  </w:style>
  <w:style w:type="character" w:customStyle="1" w:styleId="24">
    <w:name w:val="znspantitle"/>
    <w:basedOn w:val="16"/>
    <w:qFormat/>
    <w:uiPriority w:val="0"/>
    <w:rPr>
      <w:b/>
      <w:bCs/>
      <w:color w:val="333333"/>
    </w:rPr>
  </w:style>
  <w:style w:type="character" w:customStyle="1" w:styleId="25">
    <w:name w:val="lable"/>
    <w:basedOn w:val="16"/>
    <w:qFormat/>
    <w:uiPriority w:val="0"/>
    <w:rPr>
      <w:sz w:val="24"/>
      <w:szCs w:val="24"/>
    </w:rPr>
  </w:style>
  <w:style w:type="character" w:customStyle="1" w:styleId="26">
    <w:name w:val="lishishuju"/>
    <w:basedOn w:val="16"/>
    <w:qFormat/>
    <w:uiPriority w:val="0"/>
    <w:rPr>
      <w:b/>
      <w:bCs/>
      <w:color w:val="000052"/>
      <w:sz w:val="24"/>
      <w:szCs w:val="24"/>
      <w:bdr w:val="single" w:color="E3E3E3" w:sz="6" w:space="0"/>
    </w:rPr>
  </w:style>
  <w:style w:type="character" w:customStyle="1" w:styleId="27">
    <w:name w:val="radio-btn"/>
    <w:basedOn w:val="16"/>
    <w:qFormat/>
    <w:uiPriority w:val="0"/>
    <w:rPr>
      <w:sz w:val="24"/>
      <w:szCs w:val="24"/>
    </w:rPr>
  </w:style>
  <w:style w:type="character" w:customStyle="1" w:styleId="28">
    <w:name w:val="radio-btn1"/>
    <w:basedOn w:val="16"/>
    <w:qFormat/>
    <w:uiPriority w:val="0"/>
    <w:rPr>
      <w:sz w:val="24"/>
      <w:szCs w:val="24"/>
    </w:rPr>
  </w:style>
  <w:style w:type="character" w:customStyle="1" w:styleId="29">
    <w:name w:val="radio-btn2"/>
    <w:basedOn w:val="16"/>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35</Words>
  <Characters>36</Characters>
  <Lines>2</Lines>
  <Paragraphs>0</Paragraphs>
  <TotalTime>56</TotalTime>
  <ScaleCrop>false</ScaleCrop>
  <LinksUpToDate>false</LinksUpToDate>
  <CharactersWithSpaces>36</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2021-03-31T01:03:00Z</dcterms:created>
  <dc:creator>w's'd</dc:creator>
  <cp:lastModifiedBy>administrator</cp:lastModifiedBy>
  <cp:lastPrinted>2024-05-11T18:14:00Z</cp:lastPrinted>
  <dcterms:modified xsi:type="dcterms:W3CDTF">2026-03-06T10:56:58Z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B6B8D0CAAF16D7834935A96938F501B2_43</vt:lpwstr>
  </property>
</Properties>
</file>