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520" w:firstLineChars="1100"/>
        <w:jc w:val="right"/>
        <w:rPr>
          <w:rFonts w:ascii="仿宋_GB2312" w:hAnsi="仿宋_GB2312" w:eastAsia="仿宋_GB2312" w:cs="仿宋_GB2312"/>
          <w:color w:val="FF0000"/>
          <w:sz w:val="32"/>
          <w:szCs w:val="32"/>
        </w:rPr>
      </w:pPr>
    </w:p>
    <w:p>
      <w:pPr>
        <w:ind w:firstLine="3520" w:firstLineChars="1100"/>
        <w:jc w:val="righ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秦审批环准许〔20</w:t>
      </w:r>
      <w:bookmarkStart w:id="2" w:name="_GoBack"/>
      <w:bookmarkEnd w:id="2"/>
      <w:r>
        <w:rPr>
          <w:rFonts w:hint="eastAsia" w:ascii="仿宋_GB2312" w:hAnsi="仿宋_GB2312" w:eastAsia="仿宋_GB2312" w:cs="仿宋_GB2312"/>
          <w:color w:val="FF0000"/>
          <w:sz w:val="32"/>
          <w:szCs w:val="32"/>
        </w:rPr>
        <w:t>26〕01-0001号</w:t>
      </w:r>
    </w:p>
    <w:p>
      <w:pPr>
        <w:pStyle w:val="11"/>
      </w:pPr>
    </w:p>
    <w:p>
      <w:pPr>
        <w:pStyle w:val="8"/>
      </w:pP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关于《秦皇岛兴航科技有限公司机械零部件精密加工项目环境影响报告书》的</w:t>
      </w:r>
    </w:p>
    <w:p>
      <w:pPr>
        <w:snapToGrid w:val="0"/>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批  复</w:t>
      </w:r>
    </w:p>
    <w:p>
      <w:pPr>
        <w:snapToGrid w:val="0"/>
        <w:spacing w:line="560" w:lineRule="exact"/>
        <w:rPr>
          <w:rFonts w:ascii="仿宋_GB2312" w:hAnsi="仿宋_GB2312" w:eastAsia="仿宋_GB2312" w:cs="仿宋_GB2312"/>
          <w:sz w:val="32"/>
          <w:szCs w:val="32"/>
        </w:rPr>
      </w:pPr>
    </w:p>
    <w:p>
      <w:pPr>
        <w:snapToGrid w:val="0"/>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秦皇岛兴航科技有限公司：</w:t>
      </w:r>
    </w:p>
    <w:p>
      <w:pPr>
        <w:snapToGrid w:val="0"/>
        <w:spacing w:line="56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所报《秦皇岛兴航科技有限公司机械零部件精密加工项目环境影响报告书》(以下简称《报告书》)</w:t>
      </w:r>
      <w:r>
        <w:rPr>
          <w:rFonts w:hint="eastAsia" w:ascii="仿宋_GB2312" w:hAnsi="仿宋_GB2312" w:eastAsia="仿宋_GB2312" w:cs="仿宋_GB2312"/>
          <w:color w:val="000000"/>
          <w:sz w:val="32"/>
          <w:szCs w:val="32"/>
        </w:rPr>
        <w:t xml:space="preserve"> 审批申请及相关材料收悉。结合环境影响报告书结论、专家意见、项目环境影响特点及公示反馈等方面情况，经研究，现批复如下：</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一、项目建设内容和总体要求</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该项目为新建项目，位于河北卢龙经济开发区县城工业园武山路2号，</w:t>
      </w:r>
      <w:r>
        <w:rPr>
          <w:rFonts w:hint="eastAsia" w:ascii="仿宋_GB2312" w:hAnsi="仿宋_GB2312" w:eastAsia="仿宋_GB2312" w:cs="仿宋_GB2312"/>
          <w:snapToGrid w:val="0"/>
          <w:color w:val="000000"/>
          <w:spacing w:val="11"/>
          <w:kern w:val="0"/>
          <w:sz w:val="32"/>
          <w:szCs w:val="32"/>
        </w:rPr>
        <w:t>符合</w:t>
      </w:r>
      <w:r>
        <w:rPr>
          <w:rFonts w:hint="eastAsia" w:ascii="仿宋_GB2312" w:hAnsi="仿宋_GB2312" w:eastAsia="仿宋_GB2312" w:cs="仿宋_GB2312"/>
          <w:spacing w:val="8"/>
          <w:sz w:val="32"/>
          <w:szCs w:val="32"/>
        </w:rPr>
        <w:t>《河北卢龙经济开发区总体发展规划（2021-2035</w:t>
      </w:r>
      <w:r>
        <w:rPr>
          <w:rFonts w:hint="eastAsia" w:ascii="仿宋_GB2312" w:hAnsi="仿宋_GB2312" w:eastAsia="仿宋_GB2312" w:cs="仿宋_GB2312"/>
          <w:spacing w:val="24"/>
          <w:w w:val="101"/>
          <w:sz w:val="32"/>
          <w:szCs w:val="32"/>
        </w:rPr>
        <w:t xml:space="preserve"> </w:t>
      </w:r>
      <w:r>
        <w:rPr>
          <w:rFonts w:hint="eastAsia" w:ascii="仿宋_GB2312" w:hAnsi="仿宋_GB2312" w:eastAsia="仿宋_GB2312" w:cs="仿宋_GB2312"/>
          <w:spacing w:val="8"/>
          <w:sz w:val="32"/>
          <w:szCs w:val="32"/>
        </w:rPr>
        <w:t>年）环境影响报告</w:t>
      </w:r>
      <w:r>
        <w:rPr>
          <w:rFonts w:hint="eastAsia" w:ascii="仿宋_GB2312" w:hAnsi="仿宋_GB2312" w:eastAsia="仿宋_GB2312" w:cs="仿宋_GB2312"/>
          <w:spacing w:val="11"/>
          <w:sz w:val="32"/>
          <w:szCs w:val="32"/>
        </w:rPr>
        <w:t>书</w:t>
      </w:r>
      <w:r>
        <w:rPr>
          <w:rFonts w:hint="eastAsia" w:ascii="仿宋_GB2312" w:hAnsi="仿宋_GB2312" w:eastAsia="仿宋_GB2312" w:cs="仿宋_GB2312"/>
          <w:spacing w:val="-59"/>
          <w:sz w:val="32"/>
          <w:szCs w:val="32"/>
        </w:rPr>
        <w:t xml:space="preserve"> </w:t>
      </w:r>
      <w:r>
        <w:rPr>
          <w:rFonts w:hint="eastAsia" w:ascii="仿宋_GB2312" w:hAnsi="仿宋_GB2312" w:eastAsia="仿宋_GB2312" w:cs="仿宋_GB2312"/>
          <w:spacing w:val="11"/>
          <w:sz w:val="32"/>
          <w:szCs w:val="32"/>
        </w:rPr>
        <w:t>》（冀环环评</w:t>
      </w:r>
      <w:r>
        <w:rPr>
          <w:rFonts w:hint="eastAsia" w:ascii="仿宋_GB2312" w:hAnsi="仿宋_GB2312" w:eastAsia="仿宋_GB2312" w:cs="仿宋_GB2312"/>
          <w:spacing w:val="-64"/>
          <w:sz w:val="32"/>
          <w:szCs w:val="32"/>
        </w:rPr>
        <w:t xml:space="preserve"> </w:t>
      </w:r>
      <w:r>
        <w:rPr>
          <w:rFonts w:hint="eastAsia" w:ascii="仿宋_GB2312" w:hAnsi="仿宋_GB2312" w:eastAsia="仿宋_GB2312" w:cs="仿宋_GB2312"/>
          <w:spacing w:val="11"/>
          <w:sz w:val="32"/>
          <w:szCs w:val="32"/>
        </w:rPr>
        <w:t>函</w:t>
      </w:r>
      <w:r>
        <w:rPr>
          <w:rFonts w:hint="eastAsia" w:ascii="仿宋_GB2312" w:hAnsi="仿宋_GB2312" w:eastAsia="仿宋_GB2312" w:cs="仿宋_GB2312"/>
          <w:spacing w:val="-2"/>
          <w:sz w:val="32"/>
          <w:szCs w:val="32"/>
        </w:rPr>
        <w:t>〔2025〕601</w:t>
      </w:r>
      <w:r>
        <w:rPr>
          <w:rFonts w:hint="eastAsia" w:ascii="仿宋_GB2312" w:hAnsi="仿宋_GB2312" w:eastAsia="仿宋_GB2312" w:cs="仿宋_GB2312"/>
          <w:spacing w:val="15"/>
          <w:sz w:val="32"/>
          <w:szCs w:val="32"/>
        </w:rPr>
        <w:t xml:space="preserve"> </w:t>
      </w:r>
      <w:r>
        <w:rPr>
          <w:rFonts w:hint="eastAsia" w:ascii="仿宋_GB2312" w:hAnsi="仿宋_GB2312" w:eastAsia="仿宋_GB2312" w:cs="仿宋_GB2312"/>
          <w:spacing w:val="-2"/>
          <w:sz w:val="32"/>
          <w:szCs w:val="32"/>
        </w:rPr>
        <w:t>号）要求，项目</w:t>
      </w:r>
      <w:r>
        <w:rPr>
          <w:rFonts w:hint="eastAsia" w:ascii="仿宋_GB2312" w:hAnsi="仿宋_GB2312" w:eastAsia="仿宋_GB2312" w:cs="仿宋_GB2312"/>
          <w:color w:val="000000"/>
          <w:sz w:val="32"/>
          <w:szCs w:val="32"/>
        </w:rPr>
        <w:t>中心坐标为：东经118°55′18.907″，北纬39°54′50.443″。</w:t>
      </w:r>
      <w:r>
        <w:rPr>
          <w:rFonts w:hint="eastAsia" w:ascii="仿宋_GB2312" w:hAnsi="仿宋_GB2312" w:eastAsia="仿宋_GB2312" w:cs="仿宋_GB2312"/>
          <w:sz w:val="32"/>
          <w:szCs w:val="32"/>
        </w:rPr>
        <w:t>项目租赁秦皇岛永发散热器有限公司院内厂房和办公楼，租赁总建筑面积为2200平方米，购置数控机床、磨床、数控线切割设备、电镀设备、阳极氧化处理设备、滚镀设备等，年机械加工零部件总量500万件。项目总投资2400万元，其中环保投资430万元，占总投资的17.92%。</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项目不属于《产业结构调整指导目录》(2024年本)中的限制类、淘汰类产业项目；不属于《市场准入负面清单》（2022年版）中禁止准入和许可准入类项目。项目所在区域不属于生态脆弱或环境敏感地区，符合当前国家及地方产业政策。项目符合《关于以改善环境质量为核心加强环境影响评价管理的通知》(环环评〔2016〕15号)、《秦皇岛市人民政府关于秦皇岛市“三线一单”生态环境分区管控的实施意见》(秦政字〔2021〕6号)和《秦皇岛市人民政府办公室关于实施生态环境分区管控动态更新的通知》(2024年6月7日)要求。</w:t>
      </w:r>
      <w:r>
        <w:rPr>
          <w:rFonts w:hint="eastAsia" w:ascii="仿宋_GB2312" w:hAnsi="仿宋_GB2312" w:eastAsia="仿宋_GB2312" w:cs="仿宋_GB2312"/>
          <w:color w:val="000000"/>
          <w:sz w:val="32"/>
          <w:szCs w:val="32"/>
        </w:rPr>
        <w:t>项目已在秦皇岛市卢龙县行政审批局进行备案，备案编号：卢行审备字〔2025〕69号</w:t>
      </w:r>
      <w:r>
        <w:rPr>
          <w:rFonts w:hint="eastAsia" w:ascii="仿宋_GB2312" w:hAnsi="仿宋_GB2312" w:eastAsia="仿宋_GB2312" w:cs="仿宋_GB2312"/>
          <w:sz w:val="32"/>
          <w:szCs w:val="32"/>
        </w:rPr>
        <w:t>。土地性质为工业用地，符合城乡建设、土地利用、地方产业规划要求。</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该《报告书》已通过河北超泰环保科技有限公司评估，结合评估意见、专家评审意见及公示反馈情况，该项目符合国家和地方产业政策，用地符合国家土地政策要求。全面落实《报告书》提出的各项污染防治措施后，项目建设对环境的不利影响能够得到减缓和控制。我局原则同意环境影响报告书中所列建设项目的地点、性质、规模、工艺和拟采取的环境保护措施。</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须加强生产全过程管理，强化固废综合利用，降低能耗、物耗，减少污染物的产生和排放。同时，你公司在项目建设和运行过程中要认真落实《报告书》提出的各项污染防治措施，确保各项污染治理设施正常运行，各种污染物达标排放，各项环保设施设计应当由具有环保设施工程设计资质的单位承担，按照要求认真落实各项污染防治措施，并加强环保设施运营管理，确保满足相关要求，并重点做好以下工作。</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（一）加强施工期环境管理，减少施工对环境的影响。</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严格落实《河北省扬尘污染防治办法》（2020年4月1日）、《关于印发&lt;河北省2020年建筑施工扬尘防治工作方案&gt;的通知》（冀建质安函[2020]77 号）、《河北省建筑施工扬尘防治强化措施18条》（冀建安〔2016〕27号）、秦皇岛市人民政府关于印发《秦皇岛市2020年度大气污染防治行动实施方案》、《秦皇岛市2021年扬尘污染综合治理工作方案》以及同类施工场地采取的“厂区围挡+物料苫盖+喷雾降尘”以及“道路洒水+车辆苫盖”等抑尘措施，施工扬尘需满足《施工场地扬尘排放标准》（DB13/2934-2019）等相关法律法规及有关施工扬尘的管理规定。施工过程中须采取有效措施控制扬尘污染，确保施工场地颗粒物浓度满足河北省《施工场地扬尘排放标准》（DB13/2934-2019）的要求。在建筑施工期间向周围排放噪声必须按照《中华人民共和国噪声污染防治法》（中华人民共和国主席令第104号，2021年12月24日）规定，严格按《建筑施工场界环境噪声排放标准》（GB12523-2011）进行控制。施工期高噪声设备应合理安排施工时间，夜间禁止使用高噪声机械设备，杜绝深夜施工噪声扰民，对施工场地平面布局时应将施工机械尽量置于场地中央，进行合理布置，减少施工噪声对周围环境的影响；施工期的施工废水、生活废水经收集后依法依规处理，不得违法违规排放；施工期产生的生活垃圾要即产即清，及时清运到指定地点交由环卫部门依法依规处理；项目施工中产生的建筑垃圾必须统一收集、运送至城市建设管理部门指定的建筑垃圾堆放处依法依规处置；运输时采用蓬布遮盖，避免沿途洒落。须严格按照《报告书》要求落实防腐、防渗、防漏措施，进行相应的防腐、防渗、防漏施工，确保周边环境安全。</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（二）严格落实运营期各项污染物防治措施。</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1.严格落实各项大气污染防治措施。</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有组织废气:电镀锌钝化酸雾废气、铝合金阳极氧化着色酸雾废气须通过侧吸装置收集至密闭管道，再通过凝聚回收器，与酸碱废气经碱液喷淋塔处理后，由1根15m高排气筒（DA001）排放；电镀锌生产线、钛合金阳极氧化生产线、铝合金阳极氧化生产线酸碱废气须通过侧吸装置收集至密闭管道，经碱液喷淋塔处理后，由1根15m高排气筒（DA001）排放。污水处理系统臭气经密闭管道收集后送至活性炭吸附装置处理再经15m高排气筒（DA002）排放。铬酸雾、氯化氢、硫酸雾、氮氧化物、氟化物等有组织废气排放浓度须满足《电镀污染物排放标准》（GB21900-2008）表5新建企业大气污染物排放限值要求，同时参照执行《河北省十一个行业重污染天气应急减排措施制定技术指南（试行）》中金属表面处理及热处理加工行业B级排放限值；氨、硫化氢、臭气浓度有组织排放浓度须满足《恶臭污染物排放标准》（GB14554-93）表2限值要求。</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无组织废气：无组织铬酸雾、氯化氢、硫酸雾、氮氧化物、氟化物排放须满足《大气污染物综合排放标准》（GB16297-1996）表2无组织排放监控浓度限值要求；无组织氨、硫化氢、臭气浓度须满足《恶臭污染物排放标准》（GB14554－93）表1新扩改建二级标准要求；厂界非甲烷总烃须满足《工业企业挥发性有机物排放控制标准》（DB13/2322-2025）表 2 其他企业边界大气污染物浓度限值要求；厂区内非甲烷总烃须满足《挥发性有机物无组织排放控制标准》（GB37822-2019）表 A.1 特别排放限值要求。</w:t>
      </w:r>
    </w:p>
    <w:p>
      <w:pPr>
        <w:snapToGrid w:val="0"/>
        <w:spacing w:line="560" w:lineRule="exact"/>
        <w:ind w:firstLine="640" w:firstLineChars="200"/>
        <w:rPr>
          <w:rFonts w:hint="eastAsia" w:ascii="仿宋_GB2312" w:hAnsi="仿宋_GB2312" w:eastAsia="仿宋_GB2312" w:cs="仿宋_GB2312"/>
          <w:snapToGrid w:val="0"/>
          <w:color w:val="000000"/>
          <w:kern w:val="0"/>
          <w:sz w:val="32"/>
          <w:szCs w:val="32"/>
        </w:rPr>
      </w:pPr>
      <w:r>
        <w:rPr>
          <w:rFonts w:hint="eastAsia" w:ascii="仿宋_GB2312" w:hAnsi="仿宋_GB2312" w:eastAsia="仿宋_GB2312" w:cs="仿宋_GB2312"/>
          <w:sz w:val="32"/>
          <w:szCs w:val="32"/>
        </w:rPr>
        <w:t xml:space="preserve"> 2.严格落实各项水污染防治措施。</w:t>
      </w:r>
      <w:bookmarkStart w:id="0" w:name="OLE_LINK1"/>
      <w:bookmarkStart w:id="1" w:name="OLE_LINK2"/>
      <w:r>
        <w:rPr>
          <w:rFonts w:hint="eastAsia" w:ascii="仿宋_GB2312" w:hAnsi="仿宋_GB2312" w:eastAsia="仿宋_GB2312" w:cs="仿宋_GB2312"/>
          <w:sz w:val="32"/>
          <w:szCs w:val="32"/>
        </w:rPr>
        <w:t>生产过程中产生的</w:t>
      </w:r>
      <w:r>
        <w:rPr>
          <w:rFonts w:hint="eastAsia" w:ascii="仿宋_GB2312" w:hAnsi="仿宋_GB2312" w:eastAsia="仿宋_GB2312" w:cs="仿宋_GB2312"/>
          <w:snapToGrid w:val="0"/>
          <w:color w:val="000000"/>
          <w:spacing w:val="4"/>
          <w:kern w:val="0"/>
          <w:sz w:val="32"/>
          <w:szCs w:val="32"/>
        </w:rPr>
        <w:t>含铬</w:t>
      </w:r>
      <w:r>
        <w:rPr>
          <w:rFonts w:hint="eastAsia" w:ascii="仿宋_GB2312" w:hAnsi="仿宋_GB2312" w:eastAsia="仿宋_GB2312" w:cs="仿宋_GB2312"/>
          <w:snapToGrid w:val="0"/>
          <w:color w:val="000000"/>
          <w:spacing w:val="2"/>
          <w:kern w:val="0"/>
          <w:sz w:val="32"/>
          <w:szCs w:val="32"/>
        </w:rPr>
        <w:t>废水经生产车间内废水处理系统处理后进入</w:t>
      </w:r>
      <w:r>
        <w:rPr>
          <w:rFonts w:hint="eastAsia" w:ascii="仿宋_GB2312" w:hAnsi="仿宋_GB2312" w:eastAsia="仿宋_GB2312" w:cs="仿宋_GB2312"/>
          <w:snapToGrid w:val="0"/>
          <w:color w:val="000000"/>
          <w:spacing w:val="-41"/>
          <w:kern w:val="0"/>
          <w:sz w:val="32"/>
          <w:szCs w:val="32"/>
        </w:rPr>
        <w:t xml:space="preserve"> </w:t>
      </w:r>
      <w:r>
        <w:rPr>
          <w:rFonts w:hint="eastAsia" w:ascii="仿宋_GB2312" w:hAnsi="仿宋_GB2312" w:eastAsia="仿宋_GB2312" w:cs="仿宋_GB2312"/>
          <w:snapToGrid w:val="0"/>
          <w:color w:val="000000"/>
          <w:kern w:val="0"/>
          <w:sz w:val="32"/>
          <w:szCs w:val="32"/>
        </w:rPr>
        <w:t>RO</w:t>
      </w:r>
      <w:r>
        <w:rPr>
          <w:rFonts w:hint="eastAsia" w:ascii="仿宋_GB2312" w:hAnsi="仿宋_GB2312" w:eastAsia="仿宋_GB2312" w:cs="仿宋_GB2312"/>
          <w:snapToGrid w:val="0"/>
          <w:color w:val="000000"/>
          <w:spacing w:val="2"/>
          <w:kern w:val="0"/>
          <w:sz w:val="32"/>
          <w:szCs w:val="32"/>
        </w:rPr>
        <w:t>+蒸发系统处理，废水经处</w:t>
      </w:r>
      <w:r>
        <w:rPr>
          <w:rFonts w:hint="eastAsia" w:ascii="仿宋_GB2312" w:hAnsi="仿宋_GB2312" w:eastAsia="仿宋_GB2312" w:cs="仿宋_GB2312"/>
          <w:snapToGrid w:val="0"/>
          <w:color w:val="000000"/>
          <w:spacing w:val="4"/>
          <w:kern w:val="0"/>
          <w:sz w:val="32"/>
          <w:szCs w:val="32"/>
        </w:rPr>
        <w:t>理后满足《电镀污染物排放标准》（</w:t>
      </w:r>
      <w:r>
        <w:rPr>
          <w:rFonts w:hint="eastAsia" w:ascii="仿宋_GB2312" w:hAnsi="仿宋_GB2312" w:eastAsia="仿宋_GB2312" w:cs="仿宋_GB2312"/>
          <w:snapToGrid w:val="0"/>
          <w:color w:val="000000"/>
          <w:kern w:val="0"/>
          <w:sz w:val="32"/>
          <w:szCs w:val="32"/>
        </w:rPr>
        <w:t>GB</w:t>
      </w:r>
      <w:r>
        <w:rPr>
          <w:rFonts w:hint="eastAsia" w:ascii="仿宋_GB2312" w:hAnsi="仿宋_GB2312" w:eastAsia="仿宋_GB2312" w:cs="仿宋_GB2312"/>
          <w:snapToGrid w:val="0"/>
          <w:color w:val="000000"/>
          <w:spacing w:val="4"/>
          <w:kern w:val="0"/>
          <w:sz w:val="32"/>
          <w:szCs w:val="32"/>
        </w:rPr>
        <w:t>21900－2008）表</w:t>
      </w:r>
      <w:r>
        <w:rPr>
          <w:rFonts w:hint="eastAsia" w:ascii="仿宋_GB2312" w:hAnsi="仿宋_GB2312" w:eastAsia="仿宋_GB2312" w:cs="仿宋_GB2312"/>
          <w:snapToGrid w:val="0"/>
          <w:color w:val="000000"/>
          <w:spacing w:val="-48"/>
          <w:kern w:val="0"/>
          <w:sz w:val="32"/>
          <w:szCs w:val="32"/>
        </w:rPr>
        <w:t xml:space="preserve"> </w:t>
      </w:r>
      <w:r>
        <w:rPr>
          <w:rFonts w:hint="eastAsia" w:ascii="仿宋_GB2312" w:hAnsi="仿宋_GB2312" w:eastAsia="仿宋_GB2312" w:cs="仿宋_GB2312"/>
          <w:snapToGrid w:val="0"/>
          <w:color w:val="000000"/>
          <w:spacing w:val="4"/>
          <w:kern w:val="0"/>
          <w:sz w:val="32"/>
          <w:szCs w:val="32"/>
        </w:rPr>
        <w:t>2 新建企业</w:t>
      </w:r>
      <w:r>
        <w:rPr>
          <w:rFonts w:hint="eastAsia" w:ascii="仿宋_GB2312" w:hAnsi="仿宋_GB2312" w:eastAsia="仿宋_GB2312" w:cs="仿宋_GB2312"/>
          <w:snapToGrid w:val="0"/>
          <w:color w:val="000000"/>
          <w:spacing w:val="3"/>
          <w:kern w:val="0"/>
          <w:sz w:val="32"/>
          <w:szCs w:val="32"/>
        </w:rPr>
        <w:t>生产车间</w:t>
      </w:r>
      <w:r>
        <w:rPr>
          <w:rFonts w:hint="eastAsia" w:ascii="仿宋_GB2312" w:hAnsi="仿宋_GB2312" w:eastAsia="仿宋_GB2312" w:cs="仿宋_GB2312"/>
          <w:snapToGrid w:val="0"/>
          <w:color w:val="000000"/>
          <w:spacing w:val="21"/>
          <w:kern w:val="0"/>
          <w:sz w:val="32"/>
          <w:szCs w:val="32"/>
        </w:rPr>
        <w:t>或生产设施废水排放</w:t>
      </w:r>
      <w:r>
        <w:rPr>
          <w:rFonts w:hint="eastAsia" w:ascii="仿宋_GB2312" w:hAnsi="仿宋_GB2312" w:eastAsia="仿宋_GB2312" w:cs="仿宋_GB2312"/>
          <w:snapToGrid w:val="0"/>
          <w:color w:val="000000"/>
          <w:spacing w:val="-43"/>
          <w:kern w:val="0"/>
          <w:sz w:val="32"/>
          <w:szCs w:val="32"/>
        </w:rPr>
        <w:t xml:space="preserve"> </w:t>
      </w:r>
      <w:r>
        <w:rPr>
          <w:rFonts w:hint="eastAsia" w:ascii="仿宋_GB2312" w:hAnsi="仿宋_GB2312" w:eastAsia="仿宋_GB2312" w:cs="仿宋_GB2312"/>
          <w:snapToGrid w:val="0"/>
          <w:color w:val="000000"/>
          <w:spacing w:val="21"/>
          <w:kern w:val="0"/>
          <w:sz w:val="32"/>
          <w:szCs w:val="32"/>
        </w:rPr>
        <w:t>口标准</w:t>
      </w:r>
      <w:r>
        <w:rPr>
          <w:rFonts w:hint="eastAsia" w:ascii="仿宋_GB2312" w:hAnsi="仿宋_GB2312" w:eastAsia="仿宋_GB2312" w:cs="仿宋_GB2312"/>
          <w:snapToGrid w:val="0"/>
          <w:color w:val="000000"/>
          <w:spacing w:val="-52"/>
          <w:kern w:val="0"/>
          <w:sz w:val="32"/>
          <w:szCs w:val="32"/>
        </w:rPr>
        <w:t xml:space="preserve"> </w:t>
      </w:r>
      <w:r>
        <w:rPr>
          <w:rFonts w:hint="eastAsia" w:ascii="仿宋_GB2312" w:hAnsi="仿宋_GB2312" w:eastAsia="仿宋_GB2312" w:cs="仿宋_GB2312"/>
          <w:snapToGrid w:val="0"/>
          <w:color w:val="000000"/>
          <w:spacing w:val="21"/>
          <w:kern w:val="0"/>
          <w:sz w:val="32"/>
          <w:szCs w:val="32"/>
        </w:rPr>
        <w:t>以及《</w:t>
      </w:r>
      <w:r>
        <w:rPr>
          <w:rFonts w:hint="eastAsia" w:ascii="仿宋_GB2312" w:hAnsi="仿宋_GB2312" w:eastAsia="仿宋_GB2312" w:cs="仿宋_GB2312"/>
          <w:snapToGrid w:val="0"/>
          <w:color w:val="000000"/>
          <w:spacing w:val="-53"/>
          <w:kern w:val="0"/>
          <w:sz w:val="32"/>
          <w:szCs w:val="32"/>
        </w:rPr>
        <w:t xml:space="preserve"> </w:t>
      </w:r>
      <w:r>
        <w:rPr>
          <w:rFonts w:hint="eastAsia" w:ascii="仿宋_GB2312" w:hAnsi="仿宋_GB2312" w:eastAsia="仿宋_GB2312" w:cs="仿宋_GB2312"/>
          <w:snapToGrid w:val="0"/>
          <w:color w:val="000000"/>
          <w:spacing w:val="21"/>
          <w:kern w:val="0"/>
          <w:sz w:val="32"/>
          <w:szCs w:val="32"/>
        </w:rPr>
        <w:t>城</w:t>
      </w:r>
      <w:r>
        <w:rPr>
          <w:rFonts w:hint="eastAsia" w:ascii="仿宋_GB2312" w:hAnsi="仿宋_GB2312" w:eastAsia="仿宋_GB2312" w:cs="仿宋_GB2312"/>
          <w:snapToGrid w:val="0"/>
          <w:color w:val="000000"/>
          <w:spacing w:val="-71"/>
          <w:kern w:val="0"/>
          <w:sz w:val="32"/>
          <w:szCs w:val="32"/>
        </w:rPr>
        <w:t xml:space="preserve"> </w:t>
      </w:r>
      <w:r>
        <w:rPr>
          <w:rFonts w:hint="eastAsia" w:ascii="仿宋_GB2312" w:hAnsi="仿宋_GB2312" w:eastAsia="仿宋_GB2312" w:cs="仿宋_GB2312"/>
          <w:snapToGrid w:val="0"/>
          <w:color w:val="000000"/>
          <w:spacing w:val="21"/>
          <w:kern w:val="0"/>
          <w:sz w:val="32"/>
          <w:szCs w:val="32"/>
        </w:rPr>
        <w:t>市污水再生利用</w:t>
      </w:r>
      <w:r>
        <w:rPr>
          <w:rFonts w:hint="eastAsia" w:ascii="仿宋_GB2312" w:hAnsi="仿宋_GB2312" w:eastAsia="仿宋_GB2312" w:cs="仿宋_GB2312"/>
          <w:snapToGrid w:val="0"/>
          <w:color w:val="000000"/>
          <w:spacing w:val="77"/>
          <w:kern w:val="0"/>
          <w:sz w:val="32"/>
          <w:szCs w:val="32"/>
        </w:rPr>
        <w:t xml:space="preserve"> </w:t>
      </w:r>
      <w:r>
        <w:rPr>
          <w:rFonts w:hint="eastAsia" w:ascii="仿宋_GB2312" w:hAnsi="仿宋_GB2312" w:eastAsia="仿宋_GB2312" w:cs="仿宋_GB2312"/>
          <w:snapToGrid w:val="0"/>
          <w:color w:val="000000"/>
          <w:spacing w:val="21"/>
          <w:kern w:val="0"/>
          <w:sz w:val="32"/>
          <w:szCs w:val="32"/>
        </w:rPr>
        <w:t>工业用</w:t>
      </w:r>
      <w:r>
        <w:rPr>
          <w:rFonts w:hint="eastAsia" w:ascii="仿宋_GB2312" w:hAnsi="仿宋_GB2312" w:eastAsia="仿宋_GB2312" w:cs="仿宋_GB2312"/>
          <w:snapToGrid w:val="0"/>
          <w:color w:val="000000"/>
          <w:spacing w:val="20"/>
          <w:kern w:val="0"/>
          <w:sz w:val="32"/>
          <w:szCs w:val="32"/>
        </w:rPr>
        <w:t>水水质》</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3"/>
          <w:kern w:val="0"/>
          <w:sz w:val="32"/>
          <w:szCs w:val="32"/>
        </w:rPr>
        <w:t>(</w:t>
      </w:r>
      <w:r>
        <w:rPr>
          <w:rFonts w:hint="eastAsia" w:ascii="仿宋_GB2312" w:hAnsi="仿宋_GB2312" w:eastAsia="仿宋_GB2312" w:cs="仿宋_GB2312"/>
          <w:snapToGrid w:val="0"/>
          <w:color w:val="000000"/>
          <w:kern w:val="0"/>
          <w:sz w:val="32"/>
          <w:szCs w:val="32"/>
        </w:rPr>
        <w:t>GB</w:t>
      </w:r>
      <w:r>
        <w:rPr>
          <w:rFonts w:hint="eastAsia" w:ascii="仿宋_GB2312" w:hAnsi="仿宋_GB2312" w:eastAsia="仿宋_GB2312" w:cs="仿宋_GB2312"/>
          <w:snapToGrid w:val="0"/>
          <w:color w:val="000000"/>
          <w:spacing w:val="3"/>
          <w:kern w:val="0"/>
          <w:sz w:val="32"/>
          <w:szCs w:val="32"/>
        </w:rPr>
        <w:t>/T19923-2024)表</w:t>
      </w:r>
      <w:r>
        <w:rPr>
          <w:rFonts w:hint="eastAsia" w:ascii="仿宋_GB2312" w:hAnsi="仿宋_GB2312" w:eastAsia="仿宋_GB2312" w:cs="仿宋_GB2312"/>
          <w:snapToGrid w:val="0"/>
          <w:color w:val="000000"/>
          <w:spacing w:val="-10"/>
          <w:kern w:val="0"/>
          <w:sz w:val="32"/>
          <w:szCs w:val="32"/>
        </w:rPr>
        <w:t xml:space="preserve"> </w:t>
      </w:r>
      <w:r>
        <w:rPr>
          <w:rFonts w:hint="eastAsia" w:ascii="仿宋_GB2312" w:hAnsi="仿宋_GB2312" w:eastAsia="仿宋_GB2312" w:cs="仿宋_GB2312"/>
          <w:snapToGrid w:val="0"/>
          <w:color w:val="000000"/>
          <w:spacing w:val="3"/>
          <w:kern w:val="0"/>
          <w:sz w:val="32"/>
          <w:szCs w:val="32"/>
        </w:rPr>
        <w:t>1</w:t>
      </w:r>
      <w:r>
        <w:rPr>
          <w:rFonts w:hint="eastAsia" w:ascii="仿宋_GB2312" w:hAnsi="仿宋_GB2312" w:eastAsia="仿宋_GB2312" w:cs="仿宋_GB2312"/>
          <w:snapToGrid w:val="0"/>
          <w:color w:val="000000"/>
          <w:spacing w:val="41"/>
          <w:kern w:val="0"/>
          <w:sz w:val="32"/>
          <w:szCs w:val="32"/>
        </w:rPr>
        <w:t xml:space="preserve"> </w:t>
      </w:r>
      <w:r>
        <w:rPr>
          <w:rFonts w:hint="eastAsia" w:ascii="仿宋_GB2312" w:hAnsi="仿宋_GB2312" w:eastAsia="仿宋_GB2312" w:cs="仿宋_GB2312"/>
          <w:snapToGrid w:val="0"/>
          <w:color w:val="000000"/>
          <w:spacing w:val="3"/>
          <w:kern w:val="0"/>
          <w:sz w:val="32"/>
          <w:szCs w:val="32"/>
        </w:rPr>
        <w:t>中“工艺用水”标准回用于生产。含油废水经隔油池</w:t>
      </w:r>
      <w:r>
        <w:rPr>
          <w:rFonts w:hint="eastAsia" w:ascii="仿宋_GB2312" w:hAnsi="仿宋_GB2312" w:eastAsia="仿宋_GB2312" w:cs="仿宋_GB2312"/>
          <w:snapToGrid w:val="0"/>
          <w:color w:val="000000"/>
          <w:spacing w:val="11"/>
          <w:kern w:val="0"/>
          <w:sz w:val="32"/>
          <w:szCs w:val="32"/>
        </w:rPr>
        <w:t>处理后与其他生产废水（除含铬废水外）一同进入综合废水处理系统</w:t>
      </w:r>
      <w:r>
        <w:rPr>
          <w:rFonts w:hint="eastAsia" w:ascii="仿宋_GB2312" w:hAnsi="仿宋_GB2312" w:eastAsia="仿宋_GB2312" w:cs="仿宋_GB2312"/>
          <w:snapToGrid w:val="0"/>
          <w:color w:val="000000"/>
          <w:spacing w:val="4"/>
          <w:kern w:val="0"/>
          <w:sz w:val="32"/>
          <w:szCs w:val="32"/>
        </w:rPr>
        <w:t>，采用“调节+混凝/絮凝+沉淀+</w:t>
      </w:r>
      <w:r>
        <w:rPr>
          <w:rFonts w:hint="eastAsia" w:ascii="仿宋_GB2312" w:hAnsi="仿宋_GB2312" w:eastAsia="仿宋_GB2312" w:cs="仿宋_GB2312"/>
          <w:snapToGrid w:val="0"/>
          <w:color w:val="000000"/>
          <w:spacing w:val="-35"/>
          <w:kern w:val="0"/>
          <w:sz w:val="32"/>
          <w:szCs w:val="32"/>
        </w:rPr>
        <w:t xml:space="preserve"> </w:t>
      </w:r>
      <w:r>
        <w:rPr>
          <w:rFonts w:hint="eastAsia" w:ascii="仿宋_GB2312" w:hAnsi="仿宋_GB2312" w:eastAsia="仿宋_GB2312" w:cs="仿宋_GB2312"/>
          <w:snapToGrid w:val="0"/>
          <w:color w:val="000000"/>
          <w:spacing w:val="4"/>
          <w:kern w:val="0"/>
          <w:sz w:val="32"/>
          <w:szCs w:val="32"/>
        </w:rPr>
        <w:t>多介质过滤”工艺，最后同含铬废</w:t>
      </w:r>
      <w:r>
        <w:rPr>
          <w:rFonts w:hint="eastAsia" w:ascii="仿宋_GB2312" w:hAnsi="仿宋_GB2312" w:eastAsia="仿宋_GB2312" w:cs="仿宋_GB2312"/>
          <w:snapToGrid w:val="0"/>
          <w:color w:val="000000"/>
          <w:spacing w:val="3"/>
          <w:kern w:val="0"/>
          <w:sz w:val="32"/>
          <w:szCs w:val="32"/>
        </w:rPr>
        <w:t>水一同进入</w:t>
      </w:r>
      <w:r>
        <w:rPr>
          <w:rFonts w:hint="eastAsia" w:ascii="仿宋_GB2312" w:hAnsi="仿宋_GB2312" w:eastAsia="仿宋_GB2312" w:cs="仿宋_GB2312"/>
          <w:snapToGrid w:val="0"/>
          <w:color w:val="000000"/>
          <w:kern w:val="0"/>
          <w:sz w:val="32"/>
          <w:szCs w:val="32"/>
        </w:rPr>
        <w:t>RO</w:t>
      </w:r>
      <w:r>
        <w:rPr>
          <w:rFonts w:hint="eastAsia" w:ascii="仿宋_GB2312" w:hAnsi="仿宋_GB2312" w:eastAsia="仿宋_GB2312" w:cs="仿宋_GB2312"/>
          <w:snapToGrid w:val="0"/>
          <w:color w:val="000000"/>
          <w:spacing w:val="8"/>
          <w:kern w:val="0"/>
          <w:sz w:val="32"/>
          <w:szCs w:val="32"/>
        </w:rPr>
        <w:t>+蒸发系统处理，废水经处理后满足《城市污水再生利</w:t>
      </w:r>
      <w:r>
        <w:rPr>
          <w:rFonts w:hint="eastAsia" w:ascii="仿宋_GB2312" w:hAnsi="仿宋_GB2312" w:eastAsia="仿宋_GB2312" w:cs="仿宋_GB2312"/>
          <w:snapToGrid w:val="0"/>
          <w:color w:val="000000"/>
          <w:spacing w:val="7"/>
          <w:kern w:val="0"/>
          <w:sz w:val="32"/>
          <w:szCs w:val="32"/>
        </w:rPr>
        <w:t>用 工业用水水质》</w:t>
      </w:r>
      <w:r>
        <w:rPr>
          <w:rFonts w:hint="eastAsia" w:ascii="仿宋_GB2312" w:hAnsi="仿宋_GB2312" w:eastAsia="仿宋_GB2312" w:cs="仿宋_GB2312"/>
          <w:snapToGrid w:val="0"/>
          <w:color w:val="000000"/>
          <w:kern w:val="0"/>
          <w:sz w:val="32"/>
          <w:szCs w:val="32"/>
        </w:rPr>
        <w:t xml:space="preserve"> </w:t>
      </w:r>
      <w:r>
        <w:rPr>
          <w:rFonts w:hint="eastAsia" w:ascii="仿宋_GB2312" w:hAnsi="仿宋_GB2312" w:eastAsia="仿宋_GB2312" w:cs="仿宋_GB2312"/>
          <w:snapToGrid w:val="0"/>
          <w:color w:val="000000"/>
          <w:spacing w:val="3"/>
          <w:kern w:val="0"/>
          <w:sz w:val="32"/>
          <w:szCs w:val="32"/>
        </w:rPr>
        <w:t>(</w:t>
      </w:r>
      <w:r>
        <w:rPr>
          <w:rFonts w:hint="eastAsia" w:ascii="仿宋_GB2312" w:hAnsi="仿宋_GB2312" w:eastAsia="仿宋_GB2312" w:cs="仿宋_GB2312"/>
          <w:snapToGrid w:val="0"/>
          <w:color w:val="000000"/>
          <w:kern w:val="0"/>
          <w:sz w:val="32"/>
          <w:szCs w:val="32"/>
        </w:rPr>
        <w:t>GB</w:t>
      </w:r>
      <w:r>
        <w:rPr>
          <w:rFonts w:hint="eastAsia" w:ascii="仿宋_GB2312" w:hAnsi="仿宋_GB2312" w:eastAsia="仿宋_GB2312" w:cs="仿宋_GB2312"/>
          <w:snapToGrid w:val="0"/>
          <w:color w:val="000000"/>
          <w:spacing w:val="3"/>
          <w:kern w:val="0"/>
          <w:sz w:val="32"/>
          <w:szCs w:val="32"/>
        </w:rPr>
        <w:t>/T19923-2024)表</w:t>
      </w:r>
      <w:r>
        <w:rPr>
          <w:rFonts w:hint="eastAsia" w:ascii="仿宋_GB2312" w:hAnsi="仿宋_GB2312" w:eastAsia="仿宋_GB2312" w:cs="仿宋_GB2312"/>
          <w:snapToGrid w:val="0"/>
          <w:color w:val="000000"/>
          <w:spacing w:val="-11"/>
          <w:kern w:val="0"/>
          <w:sz w:val="32"/>
          <w:szCs w:val="32"/>
        </w:rPr>
        <w:t xml:space="preserve"> </w:t>
      </w:r>
      <w:r>
        <w:rPr>
          <w:rFonts w:hint="eastAsia" w:ascii="仿宋_GB2312" w:hAnsi="仿宋_GB2312" w:eastAsia="仿宋_GB2312" w:cs="仿宋_GB2312"/>
          <w:snapToGrid w:val="0"/>
          <w:color w:val="000000"/>
          <w:spacing w:val="3"/>
          <w:kern w:val="0"/>
          <w:sz w:val="32"/>
          <w:szCs w:val="32"/>
        </w:rPr>
        <w:t>1</w:t>
      </w:r>
      <w:r>
        <w:rPr>
          <w:rFonts w:hint="eastAsia" w:ascii="仿宋_GB2312" w:hAnsi="仿宋_GB2312" w:eastAsia="仿宋_GB2312" w:cs="仿宋_GB2312"/>
          <w:snapToGrid w:val="0"/>
          <w:color w:val="000000"/>
          <w:spacing w:val="42"/>
          <w:kern w:val="0"/>
          <w:sz w:val="32"/>
          <w:szCs w:val="32"/>
        </w:rPr>
        <w:t xml:space="preserve"> </w:t>
      </w:r>
      <w:r>
        <w:rPr>
          <w:rFonts w:hint="eastAsia" w:ascii="仿宋_GB2312" w:hAnsi="仿宋_GB2312" w:eastAsia="仿宋_GB2312" w:cs="仿宋_GB2312"/>
          <w:snapToGrid w:val="0"/>
          <w:color w:val="000000"/>
          <w:spacing w:val="3"/>
          <w:kern w:val="0"/>
          <w:sz w:val="32"/>
          <w:szCs w:val="32"/>
        </w:rPr>
        <w:t>中“工艺用水”标准回用于生产。生活污水经厂区化粪池</w:t>
      </w:r>
      <w:r>
        <w:rPr>
          <w:rFonts w:hint="eastAsia" w:ascii="仿宋_GB2312" w:hAnsi="仿宋_GB2312" w:eastAsia="仿宋_GB2312" w:cs="仿宋_GB2312"/>
          <w:snapToGrid w:val="0"/>
          <w:color w:val="000000"/>
          <w:spacing w:val="4"/>
          <w:kern w:val="0"/>
          <w:sz w:val="32"/>
          <w:szCs w:val="32"/>
        </w:rPr>
        <w:t>处理后，通过市政管道排入秦皇岛排水有限责任公司第</w:t>
      </w:r>
      <w:r>
        <w:rPr>
          <w:rFonts w:hint="eastAsia" w:ascii="仿宋_GB2312" w:hAnsi="仿宋_GB2312" w:eastAsia="仿宋_GB2312" w:cs="仿宋_GB2312"/>
          <w:snapToGrid w:val="0"/>
          <w:color w:val="000000"/>
          <w:spacing w:val="3"/>
          <w:kern w:val="0"/>
          <w:sz w:val="32"/>
          <w:szCs w:val="32"/>
        </w:rPr>
        <w:t>六污水</w:t>
      </w:r>
      <w:r>
        <w:rPr>
          <w:rFonts w:hint="eastAsia" w:ascii="仿宋_GB2312" w:hAnsi="仿宋_GB2312" w:eastAsia="仿宋_GB2312" w:cs="仿宋_GB2312"/>
          <w:snapToGrid w:val="0"/>
          <w:color w:val="000000"/>
          <w:spacing w:val="-1"/>
          <w:kern w:val="0"/>
          <w:sz w:val="32"/>
          <w:szCs w:val="32"/>
        </w:rPr>
        <w:t>处理厂，</w:t>
      </w:r>
      <w:r>
        <w:rPr>
          <w:rFonts w:hint="eastAsia" w:ascii="仿宋_GB2312" w:hAnsi="仿宋_GB2312" w:eastAsia="仿宋_GB2312" w:cs="仿宋_GB2312"/>
          <w:sz w:val="32"/>
          <w:szCs w:val="32"/>
        </w:rPr>
        <w:t>须满足秦皇岛排水有限责任公司第六污水处理厂进水水质要求。</w:t>
      </w:r>
    </w:p>
    <w:bookmarkEnd w:id="0"/>
    <w:bookmarkEnd w:id="1"/>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3.严格落实各项噪声污染防治措施，该项目噪声源主要是设备运行产生的噪声，采取基础减振、厂房隔声等噪声防治措施，本项目厂界噪声须满足《工业企业厂界环境噪声排放标准》（GB12348-2008）3类标准要求。</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严格落实固体废物污染防治措施。废钢材、废钛合金、废铝合金下脚料及不合格品、废锌锭、纯水制备设备定期更换的废RO膜、一般原料包装、生活垃圾等一般固体废物，须满足《一般工业固体废物贮存和填埋污染物控制标准》(GB18599-2020)中有关规定，集中收集后外售、生产厂家回收或交由环卫部门依法依规处置；废切削液、含油金属屑、废润滑油、废液压油、废油、废槽渣、废滤芯、废电解板、污水处理站污泥、污泥压滤废滤膜、污水处理系统废RO膜、含铬污泥、蒸发残渣、废液以及危险化学品原料废包装等属于危险废物的须满足《危险废物贮存污染控制标准》(GB 18597-2023)要求，同时满足《危险废物收集 贮存 运输技术规范》(HJ2025-2012)相关要求，暂存于危废间，委托有资质单位依法依规处置。</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5.如国家和地方另有更严格的相关法律法规、规章、标准以及生态环境监督管理要求的，按最严格规定执行。</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强化环境风险防范和应急措施。须制订完善的环境管理和风险防范措施，设施须配备齐全，并加强相关人员培训，切实加强风险源管控，严格落实《报告书》中环境风险防范措施，制定突发环境事件应急预案，并报当地环境保护部门备案，同时与当地政府及相关部门应急预案做好衔接，定期进行应急培训和演练，有效防范和应对环境风险。</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四、严格落实《报告书》中各项环境管理要求及清洁生产措施。对污染防治设施进行分表计电。企业须按照国家和地方排污许可有关规定，及时办理排污许可相关事宜。 </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五、在项目运营过程中，应参与环保公众平台工作，及时解决公众担忧的环境问题，满足公众合理的环境诉求。定期发布企业环境信息，主动接受社会监督。</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进一步强化污染源管理工作。按照国家和地方有关规定，建设规范的污染物排放口，设立标志牌。对《报告书》要求的监测内容定期开展监测，严格按照环境监测管理规定和技术规范的要求，设计、建设、维护永久性采样口、采样测试平台。</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该项目建设必须严格执行配套建设的环境保护设施与主体工程同时设计、同时施工、同时投入生产使用的环境保护“三同时”制度。项目竣工后，须按规定开展环境保护设施竣工验收工作。验收合格后，方可正式投入生产。未经验收或者验收不合格的，不得投入生产或者使用。该项目环境影响评价文件经批准后，如设计和施工变化造成工程性质、规模、工艺、防治污染的措施发生重大变动的，应当在调整前重新报批该项目环境影响评价文件。项目自批复之日起五年后方决定开工建设的，须将环评文件报行政审批部门重新审核。</w:t>
      </w:r>
    </w:p>
    <w:p>
      <w:pPr>
        <w:snapToGrid w:val="0"/>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你单位在接到本批复后10个工作日内，须将环评报告书及其批复文件送秦皇岛市生态环境局卢龙县分局等相关部门备案，日常监督管理由秦皇岛市生态环境局卢龙县分局负责。建设单位须定期向秦皇岛市生态环境局卢龙县分局报告“三同时”完成情况。并按规定接受各级生态环境行政主管部门的日常监督。</w:t>
      </w:r>
    </w:p>
    <w:p>
      <w:pPr>
        <w:snapToGrid w:val="0"/>
        <w:spacing w:line="560" w:lineRule="exact"/>
        <w:ind w:firstLine="640" w:firstLineChars="200"/>
        <w:rPr>
          <w:rFonts w:ascii="仿宋_GB2312" w:hAnsi="仿宋_GB2312" w:eastAsia="仿宋_GB2312" w:cs="仿宋_GB2312"/>
          <w:sz w:val="32"/>
          <w:szCs w:val="32"/>
        </w:rPr>
      </w:pPr>
    </w:p>
    <w:p>
      <w:pPr>
        <w:pStyle w:val="11"/>
        <w:spacing w:line="560" w:lineRule="exact"/>
      </w:pPr>
    </w:p>
    <w:p>
      <w:pPr>
        <w:wordWrap w:val="0"/>
        <w:snapToGrid w:val="0"/>
        <w:spacing w:line="560" w:lineRule="exact"/>
        <w:ind w:firstLine="4480" w:firstLineChars="14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秦皇岛市行政审批局    </w:t>
      </w:r>
    </w:p>
    <w:p>
      <w:pPr>
        <w:wordWrap w:val="0"/>
        <w:snapToGrid w:val="0"/>
        <w:spacing w:line="560" w:lineRule="exact"/>
        <w:ind w:firstLine="4480" w:firstLineChars="1400"/>
        <w:jc w:val="right"/>
        <w:rPr>
          <w:rFonts w:ascii="仿宋_GB2312" w:hAnsi="仿宋_GB2312" w:eastAsia="仿宋_GB2312" w:cs="仿宋_GB2312"/>
          <w:color w:val="FF0000"/>
          <w:sz w:val="32"/>
          <w:szCs w:val="32"/>
        </w:rPr>
      </w:pPr>
      <w:r>
        <w:rPr>
          <w:rFonts w:hint="eastAsia" w:ascii="仿宋_GB2312" w:hAnsi="仿宋_GB2312" w:eastAsia="仿宋_GB2312" w:cs="仿宋_GB2312"/>
          <w:color w:val="FF0000"/>
          <w:sz w:val="32"/>
          <w:szCs w:val="32"/>
        </w:rPr>
        <w:t xml:space="preserve">2026年1月13日     </w:t>
      </w:r>
    </w:p>
    <w:sectPr>
      <w:footerReference r:id="rId3" w:type="default"/>
      <w:pgSz w:w="11906" w:h="16838"/>
      <w:pgMar w:top="2098" w:right="1474" w:bottom="187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5"/>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- 8 -</w:t>
                    </w:r>
                    <w:r>
                      <w:rPr>
                        <w:rFonts w:hint="eastAsia" w:asciiTheme="minorEastAsia" w:hAnsi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563"/>
    <w:rsid w:val="000037D5"/>
    <w:rsid w:val="000141E8"/>
    <w:rsid w:val="00014920"/>
    <w:rsid w:val="00021724"/>
    <w:rsid w:val="00082A2A"/>
    <w:rsid w:val="00126ACC"/>
    <w:rsid w:val="001567F4"/>
    <w:rsid w:val="001C05D0"/>
    <w:rsid w:val="001E5F84"/>
    <w:rsid w:val="002375B3"/>
    <w:rsid w:val="002779AD"/>
    <w:rsid w:val="00297628"/>
    <w:rsid w:val="002A197E"/>
    <w:rsid w:val="002E24D3"/>
    <w:rsid w:val="002F4D28"/>
    <w:rsid w:val="00307B80"/>
    <w:rsid w:val="00343B71"/>
    <w:rsid w:val="00345DC1"/>
    <w:rsid w:val="00395C8F"/>
    <w:rsid w:val="004319E5"/>
    <w:rsid w:val="004B1637"/>
    <w:rsid w:val="004B7410"/>
    <w:rsid w:val="004C237E"/>
    <w:rsid w:val="004C7507"/>
    <w:rsid w:val="004E0EB0"/>
    <w:rsid w:val="004E6959"/>
    <w:rsid w:val="00524DC3"/>
    <w:rsid w:val="0054692D"/>
    <w:rsid w:val="005910ED"/>
    <w:rsid w:val="0059553D"/>
    <w:rsid w:val="0060159E"/>
    <w:rsid w:val="006165FF"/>
    <w:rsid w:val="00685510"/>
    <w:rsid w:val="006F2AC0"/>
    <w:rsid w:val="00705D80"/>
    <w:rsid w:val="007109FF"/>
    <w:rsid w:val="00717B2A"/>
    <w:rsid w:val="00737563"/>
    <w:rsid w:val="00741F75"/>
    <w:rsid w:val="007623CD"/>
    <w:rsid w:val="00770037"/>
    <w:rsid w:val="007A416A"/>
    <w:rsid w:val="007A67FE"/>
    <w:rsid w:val="007B2B96"/>
    <w:rsid w:val="007C5FED"/>
    <w:rsid w:val="00816289"/>
    <w:rsid w:val="0082504E"/>
    <w:rsid w:val="008E6B5D"/>
    <w:rsid w:val="008F5791"/>
    <w:rsid w:val="009255F3"/>
    <w:rsid w:val="00932A0B"/>
    <w:rsid w:val="00934FB2"/>
    <w:rsid w:val="00973033"/>
    <w:rsid w:val="009755AB"/>
    <w:rsid w:val="00975D80"/>
    <w:rsid w:val="00976430"/>
    <w:rsid w:val="00993AC2"/>
    <w:rsid w:val="009D1E86"/>
    <w:rsid w:val="009D43A3"/>
    <w:rsid w:val="009E38CC"/>
    <w:rsid w:val="009F134A"/>
    <w:rsid w:val="00A14893"/>
    <w:rsid w:val="00A43996"/>
    <w:rsid w:val="00A51751"/>
    <w:rsid w:val="00A53320"/>
    <w:rsid w:val="00A71558"/>
    <w:rsid w:val="00A74B46"/>
    <w:rsid w:val="00AD5EE1"/>
    <w:rsid w:val="00AF0271"/>
    <w:rsid w:val="00B31262"/>
    <w:rsid w:val="00B3557B"/>
    <w:rsid w:val="00B64EA2"/>
    <w:rsid w:val="00BB6623"/>
    <w:rsid w:val="00BD5457"/>
    <w:rsid w:val="00BE2525"/>
    <w:rsid w:val="00C034B3"/>
    <w:rsid w:val="00C375F5"/>
    <w:rsid w:val="00C73362"/>
    <w:rsid w:val="00C7551D"/>
    <w:rsid w:val="00CB107E"/>
    <w:rsid w:val="00CD505C"/>
    <w:rsid w:val="00CD7EFA"/>
    <w:rsid w:val="00CF1F04"/>
    <w:rsid w:val="00CF4534"/>
    <w:rsid w:val="00D22DE4"/>
    <w:rsid w:val="00D25A02"/>
    <w:rsid w:val="00DE64EA"/>
    <w:rsid w:val="00E16724"/>
    <w:rsid w:val="00E172A9"/>
    <w:rsid w:val="00E5698C"/>
    <w:rsid w:val="00E76A7A"/>
    <w:rsid w:val="00F0645D"/>
    <w:rsid w:val="00F354F6"/>
    <w:rsid w:val="00F67AEF"/>
    <w:rsid w:val="00FA0001"/>
    <w:rsid w:val="00FD424D"/>
    <w:rsid w:val="0AC92FC0"/>
    <w:rsid w:val="0EFE5F92"/>
    <w:rsid w:val="100E319E"/>
    <w:rsid w:val="1530689D"/>
    <w:rsid w:val="25F50288"/>
    <w:rsid w:val="2CAC2710"/>
    <w:rsid w:val="34FC5730"/>
    <w:rsid w:val="3BFF39D8"/>
    <w:rsid w:val="453E0824"/>
    <w:rsid w:val="4F9D18F3"/>
    <w:rsid w:val="511F47CD"/>
    <w:rsid w:val="54554E92"/>
    <w:rsid w:val="5C0C7C03"/>
    <w:rsid w:val="5F546472"/>
    <w:rsid w:val="6161135E"/>
    <w:rsid w:val="690848D9"/>
    <w:rsid w:val="6AF1698F"/>
    <w:rsid w:val="707D50FC"/>
    <w:rsid w:val="71197BA3"/>
    <w:rsid w:val="73FD6130"/>
    <w:rsid w:val="74C4154C"/>
    <w:rsid w:val="7BF831EC"/>
    <w:rsid w:val="7F477001"/>
    <w:rsid w:val="F6DBEBFE"/>
    <w:rsid w:val="FBFCAD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ind w:left="420" w:leftChars="200"/>
    </w:pPr>
  </w:style>
  <w:style w:type="paragraph" w:customStyle="1" w:styleId="3">
    <w:name w:val="样式 正文文本缩进 + 行距: 1.5 倍行距"/>
    <w:basedOn w:val="1"/>
    <w:qFormat/>
    <w:uiPriority w:val="0"/>
    <w:pPr>
      <w:spacing w:after="120" w:line="360" w:lineRule="auto"/>
      <w:ind w:left="90" w:leftChars="32" w:firstLine="560" w:firstLineChars="200"/>
    </w:pPr>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2"/>
    <w:basedOn w:val="2"/>
    <w:next w:val="1"/>
    <w:qFormat/>
    <w:uiPriority w:val="0"/>
    <w:pPr>
      <w:ind w:firstLine="420"/>
    </w:pPr>
  </w:style>
  <w:style w:type="paragraph" w:customStyle="1" w:styleId="11">
    <w:name w:val="Default"/>
    <w:basedOn w:val="12"/>
    <w:next w:val="8"/>
    <w:qFormat/>
    <w:uiPriority w:val="0"/>
    <w:pPr>
      <w:snapToGrid w:val="0"/>
    </w:pPr>
    <w:rPr>
      <w:rFonts w:ascii="Times New Roman" w:hAnsi="Times New Roman" w:cs="Times New Roman"/>
      <w:szCs w:val="21"/>
    </w:rPr>
  </w:style>
  <w:style w:type="paragraph" w:customStyle="1" w:styleId="12">
    <w:name w:val="纯文本1"/>
    <w:basedOn w:val="1"/>
    <w:qFormat/>
    <w:uiPriority w:val="99"/>
    <w:pPr>
      <w:adjustRightInd w:val="0"/>
      <w:textAlignment w:val="baseline"/>
    </w:pPr>
    <w:rPr>
      <w:szCs w:val="20"/>
    </w:rPr>
  </w:style>
  <w:style w:type="character" w:customStyle="1" w:styleId="13">
    <w:name w:val="页眉 Char"/>
    <w:basedOn w:val="10"/>
    <w:link w:val="6"/>
    <w:qFormat/>
    <w:uiPriority w:val="99"/>
    <w:rPr>
      <w:sz w:val="18"/>
      <w:szCs w:val="18"/>
    </w:rPr>
  </w:style>
  <w:style w:type="character" w:customStyle="1" w:styleId="14">
    <w:name w:val="页脚 Char"/>
    <w:basedOn w:val="10"/>
    <w:link w:val="5"/>
    <w:qFormat/>
    <w:uiPriority w:val="99"/>
    <w:rPr>
      <w:sz w:val="18"/>
      <w:szCs w:val="18"/>
    </w:rPr>
  </w:style>
  <w:style w:type="paragraph" w:customStyle="1" w:styleId="15">
    <w:name w:val="Table Text"/>
    <w:basedOn w:val="1"/>
    <w:semiHidden/>
    <w:qFormat/>
    <w:uiPriority w:val="0"/>
    <w:rPr>
      <w:rFonts w:ascii="宋体" w:hAnsi="宋体" w:eastAsia="宋体" w:cs="宋体"/>
      <w:szCs w:val="21"/>
      <w:lang w:eastAsia="en-US"/>
    </w:rPr>
  </w:style>
  <w:style w:type="paragraph" w:customStyle="1" w:styleId="16">
    <w:name w:val="Table Paragraph"/>
    <w:basedOn w:val="1"/>
    <w:qFormat/>
    <w:uiPriority w:val="1"/>
  </w:style>
  <w:style w:type="character" w:customStyle="1" w:styleId="17">
    <w:name w:val="批注框文本 Char"/>
    <w:basedOn w:val="10"/>
    <w:link w:val="4"/>
    <w:semiHidden/>
    <w:qFormat/>
    <w:uiPriority w:val="99"/>
    <w:rPr>
      <w:kern w:val="2"/>
      <w:sz w:val="18"/>
      <w:szCs w:val="18"/>
    </w:rPr>
  </w:style>
  <w:style w:type="paragraph" w:styleId="1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638</Words>
  <Characters>3639</Characters>
  <Lines>30</Lines>
  <Paragraphs>8</Paragraphs>
  <TotalTime>29</TotalTime>
  <ScaleCrop>false</ScaleCrop>
  <LinksUpToDate>false</LinksUpToDate>
  <CharactersWithSpaces>4269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2026-01-12T14:41:00Z</dcterms:created>
  <dc:creator>w's'd</dc:creator>
  <cp:lastModifiedBy>greatwall</cp:lastModifiedBy>
  <cp:lastPrinted>2026-01-12T15:29:00Z</cp:lastPrinted>
  <dcterms:modified xsi:type="dcterms:W3CDTF">2026-01-13T09:20:37Z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eyJoZGlkIjoiYWQ0YjJkYzVhYTY0MjFhOTI1MWUxOTRiM2FjNjU4ZjAiLCJ1c2VySWQiOiIyNzMyMjcwNTgifQ==</vt:lpwstr>
  </property>
  <property fmtid="{D5CDD505-2E9C-101B-9397-08002B2CF9AE}" pid="3" name="KSOProductBuildVer">
    <vt:lpwstr>2052-11.8.2.9864</vt:lpwstr>
  </property>
  <property fmtid="{D5CDD505-2E9C-101B-9397-08002B2CF9AE}" pid="4" name="ICV">
    <vt:lpwstr>3B9988BD53C846529AC4A3219907437A_12</vt:lpwstr>
  </property>
</Properties>
</file>