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11CBB">
      <w:pPr>
        <w:spacing w:line="560" w:lineRule="exact"/>
        <w:rPr>
          <w:rFonts w:ascii="Times New Roman" w:hAnsi="Times New Roman" w:cs="宋体"/>
          <w:color w:val="000000"/>
          <w:sz w:val="32"/>
          <w:szCs w:val="32"/>
        </w:rPr>
      </w:pPr>
      <w:r>
        <w:rPr>
          <w:rFonts w:hint="eastAsia" w:ascii="Times New Roman" w:hAnsi="Times New Roman" w:cs="宋体"/>
          <w:color w:val="000000"/>
          <w:sz w:val="32"/>
          <w:szCs w:val="32"/>
        </w:rPr>
        <w:t xml:space="preserve"> </w:t>
      </w:r>
    </w:p>
    <w:p w14:paraId="75711066">
      <w:pPr>
        <w:wordWrap w:val="0"/>
        <w:spacing w:before="158" w:beforeLines="50" w:line="700" w:lineRule="exact"/>
        <w:jc w:val="right"/>
        <w:rPr>
          <w:rFonts w:ascii="Times New Roman" w:hAnsi="Times New Roman" w:cs="宋体"/>
          <w:color w:val="000000"/>
          <w:sz w:val="32"/>
          <w:szCs w:val="32"/>
        </w:rPr>
      </w:pPr>
      <w:r>
        <w:rPr>
          <w:rFonts w:hint="eastAsia" w:ascii="Times New Roman" w:hAnsi="Times New Roman" w:eastAsia="仿宋_GB2312" w:cs="仿宋_GB2312"/>
          <w:color w:val="000000"/>
          <w:sz w:val="32"/>
          <w:szCs w:val="32"/>
        </w:rPr>
        <w:t xml:space="preserve"> </w:t>
      </w:r>
      <w:r>
        <w:rPr>
          <w:rFonts w:hint="eastAsia" w:ascii="仿宋_GB2312" w:eastAsia="仿宋_GB2312" w:cs="仿宋_GB2312"/>
          <w:color w:val="000000"/>
          <w:sz w:val="32"/>
          <w:szCs w:val="32"/>
        </w:rPr>
        <w:t>秦审批环准许〔202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〕0</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-00</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号</w:t>
      </w:r>
    </w:p>
    <w:p w14:paraId="19F78B3C">
      <w:pPr>
        <w:spacing w:line="560" w:lineRule="exact"/>
        <w:jc w:val="center"/>
        <w:rPr>
          <w:rFonts w:hint="eastAsia" w:ascii="方正小标宋简体" w:eastAsia="方正小标宋简体" w:cs="方正小标宋简体"/>
          <w:snapToGrid w:val="0"/>
          <w:color w:val="000000"/>
          <w:spacing w:val="0"/>
          <w:kern w:val="0"/>
          <w:sz w:val="44"/>
          <w:szCs w:val="44"/>
          <w:shd w:val="clear" w:color="auto" w:fill="FFFFFF"/>
        </w:rPr>
      </w:pPr>
      <w:r>
        <w:rPr>
          <w:rFonts w:hint="eastAsia" w:ascii="方正小标宋简体" w:eastAsia="方正小标宋简体" w:cs="方正小标宋简体"/>
          <w:snapToGrid w:val="0"/>
          <w:color w:val="000000"/>
          <w:spacing w:val="0"/>
          <w:kern w:val="0"/>
          <w:sz w:val="44"/>
          <w:szCs w:val="44"/>
          <w:shd w:val="clear" w:color="auto" w:fill="FFFFFF"/>
        </w:rPr>
        <w:t>关于《秦皇岛</w:t>
      </w:r>
      <w:r>
        <w:rPr>
          <w:rFonts w:hint="eastAsia" w:ascii="方正小标宋简体" w:eastAsia="方正小标宋简体" w:cs="方正小标宋简体"/>
          <w:snapToGrid w:val="0"/>
          <w:color w:val="000000"/>
          <w:spacing w:val="0"/>
          <w:kern w:val="0"/>
          <w:sz w:val="44"/>
          <w:szCs w:val="44"/>
          <w:shd w:val="clear" w:color="auto" w:fill="FFFFFF"/>
          <w:lang w:eastAsia="zh-CN"/>
        </w:rPr>
        <w:t>日高环保科技有限公司固废钢渣综合利用项目</w:t>
      </w:r>
      <w:r>
        <w:rPr>
          <w:rFonts w:hint="eastAsia" w:ascii="方正小标宋简体" w:eastAsia="方正小标宋简体" w:cs="方正小标宋简体"/>
          <w:snapToGrid w:val="0"/>
          <w:color w:val="000000"/>
          <w:spacing w:val="0"/>
          <w:kern w:val="0"/>
          <w:sz w:val="44"/>
          <w:szCs w:val="44"/>
          <w:shd w:val="clear" w:color="auto" w:fill="FFFFFF"/>
        </w:rPr>
        <w:t>环境影响报告表》的批复</w:t>
      </w:r>
    </w:p>
    <w:p w14:paraId="29791CDB">
      <w:pPr>
        <w:spacing w:line="240" w:lineRule="auto"/>
        <w:jc w:val="center"/>
        <w:rPr>
          <w:rFonts w:ascii="Times New Roman" w:hAnsi="Times New Roman" w:eastAsia="仿宋_GB2312" w:cs="仿宋_GB2312"/>
          <w:color w:val="000000"/>
          <w:kern w:val="0"/>
          <w:sz w:val="32"/>
          <w:szCs w:val="32"/>
          <w:shd w:val="clear" w:color="auto" w:fill="FFFFFF"/>
        </w:rPr>
      </w:pPr>
      <w:r>
        <w:rPr>
          <w:rFonts w:hint="eastAsia"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page">
                  <wp:posOffset>735965</wp:posOffset>
                </wp:positionH>
                <wp:positionV relativeFrom="page">
                  <wp:posOffset>9937115</wp:posOffset>
                </wp:positionV>
                <wp:extent cx="6083935" cy="635"/>
                <wp:effectExtent l="0" t="0" r="0" b="0"/>
                <wp:wrapTopAndBottom/>
                <wp:docPr id="7" name="直接连接符 3"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margin-left:57.95pt;margin-top:782.45pt;height:0.05pt;width:479.05pt;mso-position-horizontal-relative:page;mso-position-vertical-relative:page;mso-wrap-distance-bottom:0pt;mso-wrap-distance-top:0pt;visibility:hidden;z-index:251659264;mso-width-relative:page;mso-height-relative:page;" filled="f" stroked="t" coordsize="21600,21600" o:allowincell="f" o:gfxdata="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h+YXnZAAAADgEAAA8AAAAAAAAAAQAgAAAAIgAAAGRycy9kb3ducmV2Lnht&#10;bFBLAQIUABQAAAAIAIdO4kDEswS9MQIAADoEAAAOAAAAAAAAAAEAIAAAACgBAABkcnMvZTJvRG9j&#10;LnhtbFBLBQYAAAAABgAGAFkBAADLBQAAAAA=&#10;">
                <v:fill on="f" focussize="0,0"/>
                <v:stroke weight="5.5pt" color="#FF0000" linestyle="thinThick" joinstyle="round"/>
                <v:imagedata o:title=""/>
                <o:lock v:ext="edit" aspectratio="f"/>
                <w10:wrap type="topAndBottom"/>
              </v:line>
            </w:pict>
          </mc:Fallback>
        </mc:AlternateContent>
      </w:r>
      <w:r>
        <w:rPr>
          <w:rFonts w:hint="eastAsia"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column">
                  <wp:posOffset>-274320</wp:posOffset>
                </wp:positionH>
                <wp:positionV relativeFrom="margin">
                  <wp:posOffset>445770</wp:posOffset>
                </wp:positionV>
                <wp:extent cx="6083935" cy="635"/>
                <wp:effectExtent l="0" t="0" r="0" b="0"/>
                <wp:wrapTopAndBottom/>
                <wp:docPr id="9" name="直接连接符 4" hidden="1"/>
                <wp:cNvGraphicFramePr/>
                <a:graphic xmlns:a="http://schemas.openxmlformats.org/drawingml/2006/main">
                  <a:graphicData uri="http://schemas.microsoft.com/office/word/2010/wordprocessingShape">
                    <wps:wsp>
                      <wps:cNvCnPr/>
                      <wps:spPr>
                        <a:xfrm>
                          <a:off x="0" y="0"/>
                          <a:ext cx="6083935" cy="952"/>
                        </a:xfrm>
                        <a:prstGeom prst="line">
                          <a:avLst/>
                        </a:prstGeom>
                        <a:noFill/>
                        <a:ln w="69850" cap="flat" cmpd="thickThin">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21.6pt;margin-top:35.1pt;height:0.05pt;width:479.05pt;mso-position-vertical-relative:margin;mso-wrap-distance-bottom:0pt;mso-wrap-distance-top:0pt;visibility:hidden;z-index:251659264;mso-width-relative:page;mso-height-relative:page;" filled="f" stroked="t" coordsize="21600,21600" o:allowincell="f" o:gfxdata="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11XN9YAAAAJAQAADwAAAAAAAAABACAAAAAiAAAAZHJzL2Rvd25yZXYueG1sUEsB&#10;AhQAFAAAAAgAh07iQOC9nXEwAgAAOgQAAA4AAAAAAAAAAQAgAAAAJQEAAGRycy9lMm9Eb2MueG1s&#10;UEsFBgAAAAAGAAYAWQEAAMcFAAAAAA==&#10;">
                <v:fill on="f" focussize="0,0"/>
                <v:stroke weight="5.5pt" color="#FF0000" linestyle="thickThin" joinstyle="round"/>
                <v:imagedata o:title=""/>
                <o:lock v:ext="edit" aspectratio="f"/>
                <w10:wrap type="topAndBottom"/>
              </v:line>
            </w:pict>
          </mc:Fallback>
        </mc:AlternateContent>
      </w:r>
    </w:p>
    <w:p w14:paraId="567B88C1">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outlineLvl w:val="9"/>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pPr>
      <w:r>
        <w:rPr>
          <w:rFonts w:hint="eastAsia" w:ascii="仿宋_GB2312" w:eastAsia="仿宋_GB2312" w:cs="仿宋_GB2312"/>
          <w:snapToGrid w:val="0"/>
          <w:color w:val="000000" w:themeColor="text1"/>
          <w:spacing w:val="0"/>
          <w:kern w:val="0"/>
          <w:sz w:val="32"/>
          <w:szCs w:val="32"/>
          <w:shd w:val="clear" w:color="auto" w:fill="FFFFFF"/>
          <w14:textFill>
            <w14:solidFill>
              <w14:schemeClr w14:val="tx1"/>
            </w14:solidFill>
          </w14:textFill>
        </w:rPr>
        <w:t>秦皇岛</w:t>
      </w:r>
      <w:r>
        <w:rPr>
          <w:rFonts w:hint="eastAsia" w:ascii="仿宋_GB2312" w:eastAsia="仿宋_GB2312" w:cs="仿宋_GB2312"/>
          <w:snapToGrid w:val="0"/>
          <w:color w:val="000000" w:themeColor="text1"/>
          <w:spacing w:val="0"/>
          <w:kern w:val="0"/>
          <w:sz w:val="32"/>
          <w:szCs w:val="32"/>
          <w:shd w:val="clear" w:color="auto" w:fill="FFFFFF"/>
          <w:lang w:eastAsia="zh-CN"/>
          <w14:textFill>
            <w14:solidFill>
              <w14:schemeClr w14:val="tx1"/>
            </w14:solidFill>
          </w14:textFill>
        </w:rPr>
        <w:t>日高环保科技有限公司</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w:t>
      </w:r>
    </w:p>
    <w:p w14:paraId="19CB3B5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bookmarkStart w:id="0" w:name="_GoBack"/>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所报</w:t>
      </w:r>
      <w:r>
        <w:rPr>
          <w:rFonts w:hint="eastAsia" w:ascii="仿宋_GB2312" w:hAnsi="仿宋_GB2312" w:eastAsia="仿宋_GB2312" w:cs="仿宋_GB2312"/>
          <w:snapToGrid w:val="0"/>
          <w:color w:val="000000" w:themeColor="text1"/>
          <w:spacing w:val="0"/>
          <w:kern w:val="0"/>
          <w:sz w:val="32"/>
          <w:szCs w:val="32"/>
          <w:shd w:val="clear" w:color="auto" w:fill="FFFFFF"/>
          <w14:textFill>
            <w14:solidFill>
              <w14:schemeClr w14:val="tx1"/>
            </w14:solidFill>
          </w14:textFill>
        </w:rPr>
        <w:t>《秦皇岛</w:t>
      </w:r>
      <w:r>
        <w:rPr>
          <w:rFonts w:hint="eastAsia" w:ascii="仿宋_GB2312" w:hAnsi="仿宋_GB2312" w:eastAsia="仿宋_GB2312" w:cs="仿宋_GB2312"/>
          <w:snapToGrid w:val="0"/>
          <w:color w:val="000000" w:themeColor="text1"/>
          <w:spacing w:val="0"/>
          <w:kern w:val="0"/>
          <w:sz w:val="32"/>
          <w:szCs w:val="32"/>
          <w:shd w:val="clear" w:color="auto" w:fill="FFFFFF"/>
          <w:lang w:eastAsia="zh-CN"/>
          <w14:textFill>
            <w14:solidFill>
              <w14:schemeClr w14:val="tx1"/>
            </w14:solidFill>
          </w14:textFill>
        </w:rPr>
        <w:t>日高环保科技有限公司固废钢渣综合利用项目</w:t>
      </w:r>
      <w:r>
        <w:rPr>
          <w:rFonts w:hint="eastAsia" w:ascii="仿宋_GB2312" w:hAnsi="仿宋_GB2312" w:eastAsia="仿宋_GB2312" w:cs="仿宋_GB2312"/>
          <w:snapToGrid w:val="0"/>
          <w:color w:val="000000" w:themeColor="text1"/>
          <w:spacing w:val="0"/>
          <w:kern w:val="0"/>
          <w:sz w:val="32"/>
          <w:szCs w:val="32"/>
          <w:shd w:val="clear" w:color="auto" w:fill="FFFFFF"/>
          <w14:textFill>
            <w14:solidFill>
              <w14:schemeClr w14:val="tx1"/>
            </w14:solidFill>
          </w14:textFill>
        </w:rPr>
        <w:t>环境影响报告表》</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(以下</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简称《报告表》)</w:t>
      </w: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审批申请及相关申报材料收悉</w:t>
      </w:r>
      <w:r>
        <w:rPr>
          <w:rFonts w:hint="eastAsia" w:ascii="仿宋_GB2312" w:eastAsia="仿宋_GB2312" w:cs="仿宋_GB2312"/>
          <w:color w:val="000000" w:themeColor="text1"/>
          <w:kern w:val="0"/>
          <w:sz w:val="32"/>
          <w:szCs w:val="32"/>
          <w:shd w:val="clear" w:color="auto" w:fill="FFFFFF"/>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结合</w:t>
      </w:r>
      <w:r>
        <w:rPr>
          <w:rFonts w:hint="eastAsia" w:ascii="仿宋_GB2312" w:eastAsia="仿宋_GB2312" w:cs="仿宋_GB2312"/>
          <w:snapToGrid w:val="0"/>
          <w:color w:val="000000" w:themeColor="text1"/>
          <w:kern w:val="0"/>
          <w:sz w:val="32"/>
          <w:szCs w:val="32"/>
          <w:lang w:val="en-US" w:eastAsia="zh-CN"/>
          <w14:textFill>
            <w14:solidFill>
              <w14:schemeClr w14:val="tx1"/>
            </w14:solidFill>
          </w14:textFill>
        </w:rPr>
        <w:t>《秦皇岛日高环保科技有限公司固废钢渣综合利用项目环境影响报告表技术评估意见》</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（超泰环评[2025]0</w:t>
      </w: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48</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号）</w:t>
      </w:r>
      <w:r>
        <w:rPr>
          <w:rFonts w:hint="eastAsia" w:ascii="仿宋_GB2312" w:eastAsia="仿宋_GB2312" w:cs="仿宋_GB2312"/>
          <w:snapToGrid w:val="0"/>
          <w:color w:val="000000" w:themeColor="text1"/>
          <w:kern w:val="0"/>
          <w:sz w:val="32"/>
          <w:szCs w:val="32"/>
          <w:lang w:val="en-US" w:eastAsia="zh-CN"/>
          <w14:textFill>
            <w14:solidFill>
              <w14:schemeClr w14:val="tx1"/>
            </w14:solidFill>
          </w14:textFill>
        </w:rPr>
        <w:t>，经研究，现批复如下：</w:t>
      </w:r>
    </w:p>
    <w:p w14:paraId="271F4A9C">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kern w:val="0"/>
          <w:sz w:val="32"/>
          <w:szCs w:val="32"/>
          <w:shd w:val="clear" w:color="auto" w:fill="FFFFFF"/>
          <w:lang w:eastAsia="zh-CN"/>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项目主要建设内容和总体要求。</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项目位于昌黎县朱各庄指挥村村北，</w:t>
      </w:r>
      <w:r>
        <w:rPr>
          <w:rFonts w:hint="eastAsia" w:ascii="仿宋_GB2312" w:eastAsia="仿宋_GB2312" w:cs="仿宋_GB2312"/>
          <w:snapToGrid w:val="0"/>
          <w:color w:val="000000" w:themeColor="text1"/>
          <w:kern w:val="0"/>
          <w:sz w:val="32"/>
          <w:szCs w:val="32"/>
          <w:lang w:val="en-US" w:eastAsia="zh-CN"/>
          <w14:textFill>
            <w14:solidFill>
              <w14:schemeClr w14:val="tx1"/>
            </w14:solidFill>
          </w14:textFill>
        </w:rPr>
        <w:t>拟建1座全封闭厂房及其他附属建筑。主要生产设备有沥青混凝土生产设备、水稳混凝土生产设备、钢渣固废(建筑固废)破碎加工生产设备、筛分设备及环保设备。新建沥青混凝土生产线一条、水稳混凝土生产线一条、破碎筛分生产线一条并配套环保设施。年生产沥青混凝土20万吨、水稳混凝土50万吨、年处理固废钢渣及建筑固废可达60万吨。</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项目总投资</w:t>
      </w: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8300</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万元，其中环保投资</w:t>
      </w: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200万元，</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环保投资占总投资比例为</w:t>
      </w: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2.41</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w:t>
      </w:r>
      <w:r>
        <w:rPr>
          <w:rFonts w:hint="eastAsia" w:ascii="仿宋_GB2312" w:eastAsia="仿宋_GB2312" w:cs="仿宋_GB2312"/>
          <w:color w:val="000000" w:themeColor="text1"/>
          <w:kern w:val="0"/>
          <w:sz w:val="32"/>
          <w:szCs w:val="32"/>
          <w:shd w:val="clear" w:color="auto" w:fill="FFFFFF"/>
          <w:lang w:eastAsia="zh-CN"/>
          <w14:textFill>
            <w14:solidFill>
              <w14:schemeClr w14:val="tx1"/>
            </w14:solidFill>
          </w14:textFill>
        </w:rPr>
        <w:t>项目须符合相关产业政策</w:t>
      </w:r>
      <w:r>
        <w:rPr>
          <w:rFonts w:hint="eastAsia" w:ascii="仿宋_GB2312" w:eastAsia="仿宋_GB2312" w:cs="仿宋_GB2312"/>
          <w:color w:val="000000" w:themeColor="text1"/>
          <w:kern w:val="0"/>
          <w:sz w:val="32"/>
          <w:szCs w:val="32"/>
          <w:shd w:val="clear" w:color="auto" w:fill="FFFFFF"/>
          <w:lang w:val="en-US"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规划环评</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“三线一单”管控等要求</w:t>
      </w:r>
      <w:r>
        <w:rPr>
          <w:rFonts w:hint="eastAsia" w:ascii="仿宋_GB2312" w:eastAsia="仿宋_GB2312" w:cs="仿宋_GB2312"/>
          <w:color w:val="000000" w:themeColor="text1"/>
          <w:spacing w:val="0"/>
          <w:kern w:val="0"/>
          <w:sz w:val="32"/>
          <w:szCs w:val="32"/>
          <w14:textFill>
            <w14:solidFill>
              <w14:schemeClr w14:val="tx1"/>
            </w14:solidFill>
          </w14:textFill>
        </w:rPr>
        <w:t>；项目建设须符合城乡建设、土地利用</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、地方产业布局</w:t>
      </w:r>
      <w:r>
        <w:rPr>
          <w:rFonts w:hint="eastAsia" w:ascii="仿宋_GB2312" w:eastAsia="仿宋_GB2312" w:cs="仿宋_GB2312"/>
          <w:color w:val="000000" w:themeColor="text1"/>
          <w:spacing w:val="0"/>
          <w:kern w:val="0"/>
          <w:sz w:val="32"/>
          <w:szCs w:val="32"/>
          <w14:textFill>
            <w14:solidFill>
              <w14:schemeClr w14:val="tx1"/>
            </w14:solidFill>
          </w14:textFill>
        </w:rPr>
        <w:t>等相关规划要求。</w:t>
      </w:r>
      <w:r>
        <w:rPr>
          <w:rFonts w:hint="eastAsia" w:ascii="仿宋_GB2312" w:eastAsia="仿宋_GB2312" w:cs="仿宋_GB2312"/>
          <w:color w:val="000000" w:themeColor="text1"/>
          <w:kern w:val="0"/>
          <w:sz w:val="32"/>
          <w:szCs w:val="32"/>
          <w:shd w:val="clear" w:color="auto" w:fill="FFFFFF"/>
          <w:lang w:eastAsia="zh-CN"/>
          <w14:textFill>
            <w14:solidFill>
              <w14:schemeClr w14:val="tx1"/>
            </w14:solidFill>
          </w14:textFill>
        </w:rPr>
        <w:t>项目已经昌黎县行政审批局备案（备案编号：昌审批备字〔2025〕</w:t>
      </w:r>
      <w:r>
        <w:rPr>
          <w:rFonts w:hint="eastAsia" w:ascii="仿宋_GB2312" w:eastAsia="仿宋_GB2312" w:cs="仿宋_GB2312"/>
          <w:color w:val="000000" w:themeColor="text1"/>
          <w:kern w:val="0"/>
          <w:sz w:val="32"/>
          <w:szCs w:val="32"/>
          <w:shd w:val="clear" w:color="auto" w:fill="FFFFFF"/>
          <w:lang w:val="en-US" w:eastAsia="zh-CN"/>
          <w14:textFill>
            <w14:solidFill>
              <w14:schemeClr w14:val="tx1"/>
            </w14:solidFill>
          </w14:textFill>
        </w:rPr>
        <w:t>212</w:t>
      </w:r>
      <w:r>
        <w:rPr>
          <w:rFonts w:hint="eastAsia" w:ascii="仿宋_GB2312" w:eastAsia="仿宋_GB2312" w:cs="仿宋_GB2312"/>
          <w:color w:val="000000" w:themeColor="text1"/>
          <w:kern w:val="0"/>
          <w:sz w:val="32"/>
          <w:szCs w:val="32"/>
          <w:shd w:val="clear" w:color="auto" w:fill="FFFFFF"/>
          <w:lang w:eastAsia="zh-CN"/>
          <w14:textFill>
            <w14:solidFill>
              <w14:schemeClr w14:val="tx1"/>
            </w14:solidFill>
          </w14:textFill>
        </w:rPr>
        <w:t>号）。</w:t>
      </w:r>
    </w:p>
    <w:p w14:paraId="70EEDA91">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14:textFill>
            <w14:solidFill>
              <w14:schemeClr w14:val="tx1"/>
            </w14:solidFill>
          </w14:textFill>
        </w:rPr>
        <w:t>二、根据所报《报告表》、</w:t>
      </w:r>
      <w:r>
        <w:rPr>
          <w:rFonts w:hint="eastAsia" w:ascii="仿宋_GB2312" w:eastAsia="仿宋_GB2312" w:cs="仿宋_GB2312"/>
          <w:snapToGrid w:val="0"/>
          <w:color w:val="000000" w:themeColor="text1"/>
          <w:spacing w:val="0"/>
          <w:kern w:val="0"/>
          <w:sz w:val="32"/>
          <w:szCs w:val="32"/>
          <w14:textFill>
            <w14:solidFill>
              <w14:schemeClr w14:val="tx1"/>
            </w14:solidFill>
          </w14:textFill>
        </w:rPr>
        <w:t>报告</w:t>
      </w:r>
      <w:r>
        <w:rPr>
          <w:rFonts w:hint="eastAsia" w:ascii="仿宋_GB2312" w:eastAsia="仿宋_GB2312" w:cs="仿宋_GB2312"/>
          <w:snapToGrid w:val="0"/>
          <w:color w:val="000000" w:themeColor="text1"/>
          <w:spacing w:val="0"/>
          <w:kern w:val="0"/>
          <w:sz w:val="32"/>
          <w:szCs w:val="32"/>
          <w:lang w:val="en-US" w:eastAsia="zh-CN"/>
          <w14:textFill>
            <w14:solidFill>
              <w14:schemeClr w14:val="tx1"/>
            </w14:solidFill>
          </w14:textFill>
        </w:rPr>
        <w:t>表</w:t>
      </w:r>
      <w:r>
        <w:rPr>
          <w:rFonts w:hint="eastAsia" w:ascii="仿宋_GB2312" w:eastAsia="仿宋_GB2312" w:cs="仿宋_GB2312"/>
          <w:snapToGrid w:val="0"/>
          <w:color w:val="000000" w:themeColor="text1"/>
          <w:spacing w:val="0"/>
          <w:kern w:val="0"/>
          <w:sz w:val="32"/>
          <w:szCs w:val="32"/>
          <w14:textFill>
            <w14:solidFill>
              <w14:schemeClr w14:val="tx1"/>
            </w14:solidFill>
          </w14:textFill>
        </w:rPr>
        <w:t>评估意见、</w:t>
      </w:r>
      <w:r>
        <w:rPr>
          <w:rFonts w:hint="eastAsia" w:ascii="仿宋_GB2312" w:eastAsia="仿宋_GB2312" w:cs="仿宋_GB2312"/>
          <w:color w:val="000000" w:themeColor="text1"/>
          <w:spacing w:val="0"/>
          <w:kern w:val="0"/>
          <w:sz w:val="32"/>
          <w:szCs w:val="32"/>
          <w14:textFill>
            <w14:solidFill>
              <w14:schemeClr w14:val="tx1"/>
            </w14:solidFill>
          </w14:textFill>
        </w:rPr>
        <w:t>各有关部门意见、本项目公示意见反馈情况以及企业承诺等，在项目</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全面严格</w:t>
      </w: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落实</w:t>
      </w:r>
      <w:r>
        <w:rPr>
          <w:rFonts w:hint="eastAsia" w:ascii="仿宋_GB2312" w:eastAsia="仿宋_GB2312" w:cs="仿宋_GB2312"/>
          <w:color w:val="000000" w:themeColor="text1"/>
          <w:spacing w:val="0"/>
          <w:kern w:val="0"/>
          <w:sz w:val="32"/>
          <w:szCs w:val="32"/>
          <w14:textFill>
            <w14:solidFill>
              <w14:schemeClr w14:val="tx1"/>
            </w14:solidFill>
          </w14:textFill>
        </w:rPr>
        <w:t>国家和地方相关法律法规、</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规章、</w:t>
      </w:r>
      <w:r>
        <w:rPr>
          <w:rFonts w:hint="eastAsia" w:ascii="仿宋_GB2312" w:eastAsia="仿宋_GB2312" w:cs="仿宋_GB2312"/>
          <w:color w:val="000000" w:themeColor="text1"/>
          <w:spacing w:val="0"/>
          <w:kern w:val="0"/>
          <w:sz w:val="32"/>
          <w:szCs w:val="32"/>
          <w14:textFill>
            <w14:solidFill>
              <w14:schemeClr w14:val="tx1"/>
            </w14:solidFill>
          </w14:textFill>
        </w:rPr>
        <w:t>标准</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、生态环境部门监督管理</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要求等</w:t>
      </w:r>
      <w:r>
        <w:rPr>
          <w:rFonts w:hint="eastAsia" w:ascii="仿宋_GB2312" w:eastAsia="仿宋_GB2312" w:cs="仿宋_GB2312"/>
          <w:color w:val="000000" w:themeColor="text1"/>
          <w:spacing w:val="0"/>
          <w:kern w:val="0"/>
          <w:sz w:val="32"/>
          <w:szCs w:val="32"/>
          <w14:textFill>
            <w14:solidFill>
              <w14:schemeClr w14:val="tx1"/>
            </w14:solidFill>
          </w14:textFill>
        </w:rPr>
        <w:t>规定</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以及</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《报告表》提出的各项污染防治措施</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、环境管理要求的前提下，</w:t>
      </w:r>
      <w:r>
        <w:rPr>
          <w:rFonts w:hint="eastAsia" w:ascii="仿宋_GB2312" w:eastAsia="仿宋_GB2312" w:cs="仿宋_GB2312"/>
          <w:color w:val="000000" w:themeColor="text1"/>
          <w:spacing w:val="0"/>
          <w:kern w:val="0"/>
          <w:sz w:val="32"/>
          <w:szCs w:val="32"/>
          <w14:textFill>
            <w14:solidFill>
              <w14:schemeClr w14:val="tx1"/>
            </w14:solidFill>
          </w14:textFill>
        </w:rPr>
        <w:t>从环境保护角度考虑，我局原则同意《报告表》结论。你公司须严格按照《报告表》所列建设项目的性质、规模、地点、生产工艺、环保措施及要求等实施</w:t>
      </w: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项目建设，未列入本报告及批复许可的内容，不得建设、投入运行。</w:t>
      </w:r>
    </w:p>
    <w:p w14:paraId="427CEAA2">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textAlignment w:val="auto"/>
        <w:outlineLvl w:val="9"/>
        <w:rPr>
          <w:rFonts w:hint="eastAsia" w:ascii="仿宋_GB2312" w:eastAsia="仿宋_GB2312" w:cs="仿宋_GB2312"/>
          <w:color w:val="000000" w:themeColor="text1"/>
          <w:spacing w:val="0"/>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三、该项目建设和运行过程中要认真落实《报告表》及相关的各项污染防治措施和环境管理要求，确保各项污染物稳定达标排放。同时，重点做好以下工作：</w:t>
      </w:r>
    </w:p>
    <w:p w14:paraId="52029997">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（一）加强施工期管理，制定严格的规章制度，确保各项环保措施落实到位。选用低噪声施工机械，合理安排各类施工机械工作时间，</w:t>
      </w:r>
      <w:r>
        <w:rPr>
          <w:rFonts w:hint="eastAsia" w:ascii="仿宋_GB2312" w:eastAsia="仿宋_GB2312" w:cs="仿宋_GB2312"/>
          <w:snapToGrid w:val="0"/>
          <w:color w:val="000000" w:themeColor="text1"/>
          <w:kern w:val="0"/>
          <w:sz w:val="32"/>
          <w:szCs w:val="32"/>
          <w14:textFill>
            <w14:solidFill>
              <w14:schemeClr w14:val="tx1"/>
            </w14:solidFill>
          </w14:textFill>
        </w:rPr>
        <w:t>确保施工噪声</w:t>
      </w:r>
      <w:r>
        <w:rPr>
          <w:rFonts w:ascii="仿宋_GB2312" w:eastAsia="仿宋_GB2312" w:cs="仿宋_GB2312"/>
          <w:snapToGrid w:val="0"/>
          <w:color w:val="000000" w:themeColor="text1"/>
          <w:kern w:val="0"/>
          <w:sz w:val="32"/>
          <w:szCs w:val="32"/>
          <w14:textFill>
            <w14:solidFill>
              <w14:schemeClr w14:val="tx1"/>
            </w14:solidFill>
          </w14:textFill>
        </w:rPr>
        <w:t>满足</w:t>
      </w:r>
      <w:r>
        <w:rPr>
          <w:rFonts w:hint="eastAsia" w:ascii="仿宋_GB2312" w:hAnsi="微软雅黑" w:eastAsia="仿宋_GB2312" w:cs="仿宋_GB2312"/>
          <w:snapToGrid w:val="0"/>
          <w:color w:val="000000" w:themeColor="text1"/>
          <w:sz w:val="32"/>
          <w:szCs w:val="32"/>
          <w14:textFill>
            <w14:solidFill>
              <w14:schemeClr w14:val="tx1"/>
            </w14:solidFill>
          </w14:textFill>
        </w:rPr>
        <w:t>《建筑施工噪声排放标准》（GB12523-2025）</w:t>
      </w:r>
      <w:r>
        <w:rPr>
          <w:rFonts w:hint="eastAsia" w:ascii="仿宋_GB2312" w:eastAsia="仿宋_GB2312" w:cs="仿宋_GB2312"/>
          <w:snapToGrid w:val="0"/>
          <w:color w:val="000000" w:themeColor="text1"/>
          <w:kern w:val="0"/>
          <w:sz w:val="32"/>
          <w:szCs w:val="32"/>
          <w:lang w:val="en-US" w:eastAsia="zh-CN"/>
          <w14:textFill>
            <w14:solidFill>
              <w14:schemeClr w14:val="tx1"/>
            </w14:solidFill>
          </w14:textFill>
        </w:rPr>
        <w:t>要求</w:t>
      </w:r>
      <w:r>
        <w:rPr>
          <w:rFonts w:hint="eastAsia" w:ascii="仿宋_GB2312" w:eastAsia="仿宋_GB2312" w:cs="仿宋_GB2312"/>
          <w:color w:val="000000" w:themeColor="text1"/>
          <w:kern w:val="0"/>
          <w:sz w:val="32"/>
          <w:szCs w:val="32"/>
          <w:lang w:val="en-US" w:eastAsia="zh-CN"/>
          <w14:textFill>
            <w14:solidFill>
              <w14:schemeClr w14:val="tx1"/>
            </w14:solidFill>
          </w14:textFill>
        </w:rPr>
        <w:t>；有效控制施工扬尘，确保施工扬尘满足《施工场地扬尘排放标准》（DB13/2934-2019）要求。依法依规处置施工期废气、废水、固废、噪声等，防止施工期废水、废气、固废、噪声等污染环境。</w:t>
      </w:r>
      <w:r>
        <w:rPr>
          <w:rFonts w:hint="eastAsia" w:ascii="仿宋_GB2312" w:eastAsia="仿宋_GB2312" w:cs="仿宋_GB2312"/>
          <w:color w:val="000000" w:themeColor="text1"/>
          <w:kern w:val="0"/>
          <w:sz w:val="32"/>
          <w:szCs w:val="32"/>
          <w14:textFill>
            <w14:solidFill>
              <w14:schemeClr w14:val="tx1"/>
            </w14:solidFill>
          </w14:textFill>
        </w:rPr>
        <w:t>严格按照《报告表》要求进行相应的地面硬化以及</w:t>
      </w:r>
      <w:r>
        <w:rPr>
          <w:rFonts w:hint="eastAsia" w:ascii="仿宋_GB2312" w:eastAsia="仿宋_GB2312" w:cs="仿宋_GB2312"/>
          <w:color w:val="000000" w:themeColor="text1"/>
          <w:kern w:val="0"/>
          <w:sz w:val="32"/>
          <w:szCs w:val="32"/>
          <w:lang w:eastAsia="zh-CN"/>
          <w14:textFill>
            <w14:solidFill>
              <w14:schemeClr w14:val="tx1"/>
            </w14:solidFill>
          </w14:textFill>
        </w:rPr>
        <w:t>防腐、</w:t>
      </w:r>
      <w:r>
        <w:rPr>
          <w:rFonts w:hint="eastAsia" w:ascii="仿宋_GB2312" w:eastAsia="仿宋_GB2312" w:cs="仿宋_GB2312"/>
          <w:color w:val="000000" w:themeColor="text1"/>
          <w:kern w:val="0"/>
          <w:sz w:val="32"/>
          <w:szCs w:val="32"/>
          <w14:textFill>
            <w14:solidFill>
              <w14:schemeClr w14:val="tx1"/>
            </w14:solidFill>
          </w14:textFill>
        </w:rPr>
        <w:t>防渗</w:t>
      </w:r>
      <w:r>
        <w:rPr>
          <w:rFonts w:hint="eastAsia" w:ascii="仿宋_GB2312" w:eastAsia="仿宋_GB2312" w:cs="仿宋_GB2312"/>
          <w:color w:val="000000" w:themeColor="text1"/>
          <w:kern w:val="0"/>
          <w:sz w:val="32"/>
          <w:szCs w:val="32"/>
          <w:lang w:eastAsia="zh-CN"/>
          <w14:textFill>
            <w14:solidFill>
              <w14:schemeClr w14:val="tx1"/>
            </w14:solidFill>
          </w14:textFill>
        </w:rPr>
        <w:t>、防漏、</w:t>
      </w:r>
      <w:r>
        <w:rPr>
          <w:rFonts w:hint="eastAsia" w:ascii="仿宋_GB2312" w:eastAsia="仿宋_GB2312" w:cs="仿宋_GB2312"/>
          <w:color w:val="000000" w:themeColor="text1"/>
          <w:kern w:val="0"/>
          <w:sz w:val="32"/>
          <w:szCs w:val="32"/>
          <w14:textFill>
            <w14:solidFill>
              <w14:schemeClr w14:val="tx1"/>
            </w14:solidFill>
          </w14:textFill>
        </w:rPr>
        <w:t>防</w:t>
      </w:r>
      <w:r>
        <w:rPr>
          <w:rFonts w:hint="eastAsia" w:ascii="仿宋_GB2312" w:eastAsia="仿宋_GB2312" w:cs="仿宋_GB2312"/>
          <w:color w:val="000000" w:themeColor="text1"/>
          <w:kern w:val="0"/>
          <w:sz w:val="32"/>
          <w:szCs w:val="32"/>
          <w:lang w:val="en-US" w:eastAsia="zh-CN"/>
          <w14:textFill>
            <w14:solidFill>
              <w14:schemeClr w14:val="tx1"/>
            </w14:solidFill>
          </w14:textFill>
        </w:rPr>
        <w:t>冻</w:t>
      </w:r>
      <w:r>
        <w:rPr>
          <w:rFonts w:hint="eastAsia" w:ascii="仿宋_GB2312" w:eastAsia="仿宋_GB2312" w:cs="仿宋_GB2312"/>
          <w:color w:val="000000" w:themeColor="text1"/>
          <w:kern w:val="0"/>
          <w:sz w:val="32"/>
          <w:szCs w:val="32"/>
          <w14:textFill>
            <w14:solidFill>
              <w14:schemeClr w14:val="tx1"/>
            </w14:solidFill>
          </w14:textFill>
        </w:rPr>
        <w:t>施工。</w:t>
      </w:r>
    </w:p>
    <w:p w14:paraId="26D1FDB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（二）加强运营期环境管理，严格落实各项污染防治措施。</w:t>
      </w:r>
    </w:p>
    <w:p w14:paraId="7542CE1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1.严格落实大气</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污染防治措施</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根据废气污染物的性质切实采用有效处理方式，处理设施的处理能力、效率应满足需求，排气筒高度须符合国家</w:t>
      </w: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和地方</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有关要求，</w:t>
      </w: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确保大气污染物排放满足国家和地方有关标准要求以及《报告表》提出的相关要求。</w:t>
      </w:r>
    </w:p>
    <w:p w14:paraId="7C48FA4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2.严格落实水和土壤污染防治措施。项目须严格落实《报告表》及相关的水和土壤污染防治措施和环境管理要求，确保水和土壤环境安全。</w:t>
      </w:r>
    </w:p>
    <w:p w14:paraId="134E5050">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3.</w:t>
      </w:r>
      <w:r>
        <w:rPr>
          <w:rFonts w:hint="eastAsia" w:ascii="仿宋_GB2312" w:eastAsia="仿宋_GB2312" w:cs="仿宋_GB2312"/>
          <w:color w:val="000000" w:themeColor="text1"/>
          <w:spacing w:val="0"/>
          <w:kern w:val="0"/>
          <w:sz w:val="32"/>
          <w:szCs w:val="32"/>
          <w14:textFill>
            <w14:solidFill>
              <w14:schemeClr w14:val="tx1"/>
            </w14:solidFill>
          </w14:textFill>
        </w:rPr>
        <w:t>严格落实各项噪声污染防治措施</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eastAsia="仿宋_GB2312" w:cs="仿宋_GB2312"/>
          <w:color w:val="000000" w:themeColor="text1"/>
          <w:spacing w:val="0"/>
          <w:kern w:val="0"/>
          <w:sz w:val="32"/>
          <w:szCs w:val="32"/>
          <w14:textFill>
            <w14:solidFill>
              <w14:schemeClr w14:val="tx1"/>
            </w14:solidFill>
          </w14:textFill>
        </w:rPr>
        <w:t>严格控制生产过程产生的噪声对周围环境的影响。</w:t>
      </w:r>
      <w:r>
        <w:rPr>
          <w:rFonts w:hint="eastAsia" w:ascii="仿宋_GB2312" w:eastAsia="仿宋_GB2312" w:cs="仿宋_GB2312"/>
          <w:color w:val="000000" w:themeColor="text1"/>
          <w:kern w:val="0"/>
          <w:sz w:val="32"/>
          <w:szCs w:val="32"/>
          <w14:textFill>
            <w14:solidFill>
              <w14:schemeClr w14:val="tx1"/>
            </w14:solidFill>
          </w14:textFill>
        </w:rPr>
        <w:t>项目建设应</w:t>
      </w:r>
      <w:r>
        <w:rPr>
          <w:rFonts w:hint="eastAsia" w:ascii="仿宋_GB2312" w:eastAsia="仿宋_GB2312" w:cs="仿宋_GB2312"/>
          <w:color w:val="000000" w:themeColor="text1"/>
          <w:spacing w:val="0"/>
          <w:kern w:val="0"/>
          <w:sz w:val="32"/>
          <w:szCs w:val="32"/>
          <w14:textFill>
            <w14:solidFill>
              <w14:schemeClr w14:val="tx1"/>
            </w14:solidFill>
          </w14:textFill>
        </w:rPr>
        <w:t>合理布局，选用低噪声设备，同时采取必要的隔音、消声降噪、减振等措施，确保厂界噪声满足</w:t>
      </w: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《工业企业厂界环境噪声排放标准》（GB12348-2008）相应限值要求及所在功能区要求。</w:t>
      </w:r>
    </w:p>
    <w:p w14:paraId="7CE5A3AB">
      <w:pPr>
        <w:pStyle w:val="2"/>
        <w:keepNext w:val="0"/>
        <w:keepLines w:val="0"/>
        <w:pageBreakBefore w:val="0"/>
        <w:widowControl w:val="0"/>
        <w:suppressLineNumbers w:val="0"/>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eastAsia="仿宋_GB2312" w:cs="仿宋_GB2312"/>
          <w:color w:val="000000" w:themeColor="text1"/>
          <w:spacing w:val="0"/>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4.严格落实</w:t>
      </w:r>
      <w:r>
        <w:rPr>
          <w:rFonts w:hint="eastAsia" w:ascii="仿宋_GB2312" w:eastAsia="仿宋_GB2312" w:cs="仿宋_GB2312"/>
          <w:color w:val="000000" w:themeColor="text1"/>
          <w:spacing w:val="0"/>
          <w:kern w:val="0"/>
          <w:sz w:val="32"/>
          <w:szCs w:val="32"/>
          <w14:textFill>
            <w14:solidFill>
              <w14:schemeClr w14:val="tx1"/>
            </w14:solidFill>
          </w14:textFill>
        </w:rPr>
        <w:t>固体废物污染防治</w:t>
      </w: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措施</w:t>
      </w:r>
      <w:r>
        <w:rPr>
          <w:rFonts w:hint="eastAsia" w:ascii="仿宋_GB2312" w:eastAsia="仿宋_GB2312" w:cs="仿宋_GB2312"/>
          <w:color w:val="000000" w:themeColor="text1"/>
          <w:spacing w:val="0"/>
          <w:kern w:val="0"/>
          <w:sz w:val="32"/>
          <w:szCs w:val="32"/>
          <w14:textFill>
            <w14:solidFill>
              <w14:schemeClr w14:val="tx1"/>
            </w14:solidFill>
          </w14:textFill>
        </w:rPr>
        <w:t>。项目产生的固体废物须严格按照</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相关</w:t>
      </w:r>
      <w:r>
        <w:rPr>
          <w:rFonts w:hint="eastAsia" w:ascii="仿宋_GB2312" w:eastAsia="仿宋_GB2312" w:cs="仿宋_GB2312"/>
          <w:color w:val="000000" w:themeColor="text1"/>
          <w:spacing w:val="0"/>
          <w:kern w:val="0"/>
          <w:sz w:val="32"/>
          <w:szCs w:val="32"/>
          <w14:textFill>
            <w14:solidFill>
              <w14:schemeClr w14:val="tx1"/>
            </w14:solidFill>
          </w14:textFill>
        </w:rPr>
        <w:t>法律法规、政策文件、技术规范等有关规定和要求以及《报告表》的相关要求进行管理，确保不对环境造成污染。</w:t>
      </w:r>
    </w:p>
    <w:p w14:paraId="597C573D">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5.认真落实《报告表》中其他环境管理要求。</w:t>
      </w:r>
      <w:r>
        <w:rPr>
          <w:rFonts w:hint="eastAsia" w:ascii="仿宋_GB2312" w:eastAsia="仿宋_GB2312" w:cs="仿宋_GB2312"/>
          <w:color w:val="000000" w:themeColor="text1"/>
          <w:spacing w:val="0"/>
          <w:kern w:val="0"/>
          <w:sz w:val="32"/>
          <w:szCs w:val="32"/>
          <w14:textFill>
            <w14:solidFill>
              <w14:schemeClr w14:val="tx1"/>
            </w14:solidFill>
          </w14:textFill>
        </w:rPr>
        <w:t>如国家和地方另有更严格的相关法律法规、</w:t>
      </w:r>
      <w:r>
        <w:rPr>
          <w:rFonts w:hint="eastAsia" w:ascii="仿宋_GB2312" w:eastAsia="仿宋_GB2312" w:cs="仿宋_GB2312"/>
          <w:color w:val="000000" w:themeColor="text1"/>
          <w:spacing w:val="0"/>
          <w:kern w:val="0"/>
          <w:sz w:val="32"/>
          <w:szCs w:val="32"/>
          <w:lang w:eastAsia="zh-CN"/>
          <w14:textFill>
            <w14:solidFill>
              <w14:schemeClr w14:val="tx1"/>
            </w14:solidFill>
          </w14:textFill>
        </w:rPr>
        <w:t>规章、</w:t>
      </w:r>
      <w:r>
        <w:rPr>
          <w:rFonts w:hint="eastAsia" w:ascii="仿宋_GB2312" w:eastAsia="仿宋_GB2312" w:cs="仿宋_GB2312"/>
          <w:color w:val="000000" w:themeColor="text1"/>
          <w:spacing w:val="0"/>
          <w:kern w:val="0"/>
          <w:sz w:val="32"/>
          <w:szCs w:val="32"/>
          <w14:textFill>
            <w14:solidFill>
              <w14:schemeClr w14:val="tx1"/>
            </w14:solidFill>
          </w14:textFill>
        </w:rPr>
        <w:t>标准以及生态环境</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部门</w:t>
      </w:r>
      <w:r>
        <w:rPr>
          <w:rFonts w:hint="eastAsia" w:ascii="仿宋_GB2312" w:eastAsia="仿宋_GB2312" w:cs="仿宋_GB2312"/>
          <w:color w:val="000000" w:themeColor="text1"/>
          <w:spacing w:val="0"/>
          <w:kern w:val="0"/>
          <w:sz w:val="32"/>
          <w:szCs w:val="32"/>
          <w14:textFill>
            <w14:solidFill>
              <w14:schemeClr w14:val="tx1"/>
            </w14:solidFill>
          </w14:textFill>
        </w:rPr>
        <w:t>监督管理</w:t>
      </w:r>
      <w:r>
        <w:rPr>
          <w:rFonts w:hint="eastAsia" w:ascii="仿宋_GB2312" w:eastAsia="仿宋_GB2312" w:cs="仿宋_GB2312"/>
          <w:color w:val="000000" w:themeColor="text1"/>
          <w:spacing w:val="0"/>
          <w:kern w:val="0"/>
          <w:sz w:val="32"/>
          <w:szCs w:val="32"/>
          <w:lang w:val="en-US" w:eastAsia="zh-CN"/>
          <w14:textFill>
            <w14:solidFill>
              <w14:schemeClr w14:val="tx1"/>
            </w14:solidFill>
          </w14:textFill>
        </w:rPr>
        <w:t>等</w:t>
      </w:r>
      <w:r>
        <w:rPr>
          <w:rFonts w:hint="eastAsia" w:ascii="仿宋_GB2312" w:eastAsia="仿宋_GB2312" w:cs="仿宋_GB2312"/>
          <w:color w:val="000000" w:themeColor="text1"/>
          <w:spacing w:val="0"/>
          <w:kern w:val="0"/>
          <w:sz w:val="32"/>
          <w:szCs w:val="32"/>
          <w14:textFill>
            <w14:solidFill>
              <w14:schemeClr w14:val="tx1"/>
            </w14:solidFill>
          </w14:textFill>
        </w:rPr>
        <w:t>要求的，按最严格规定执行。</w:t>
      </w:r>
    </w:p>
    <w:p w14:paraId="6885841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14:textFill>
            <w14:solidFill>
              <w14:schemeClr w14:val="tx1"/>
            </w14:solidFill>
          </w14:textFill>
        </w:rPr>
        <w:t>四、</w:t>
      </w:r>
      <w:r>
        <w:rPr>
          <w:rFonts w:hint="eastAsia" w:ascii="仿宋_GB2312" w:eastAsia="仿宋_GB2312" w:cs="仿宋_GB2312"/>
          <w:color w:val="000000" w:themeColor="text1"/>
          <w:kern w:val="0"/>
          <w:sz w:val="32"/>
          <w:szCs w:val="32"/>
          <w14:textFill>
            <w14:solidFill>
              <w14:schemeClr w14:val="tx1"/>
            </w14:solidFill>
          </w14:textFill>
        </w:rPr>
        <w:t>强化环境风险防范和应急措施。制订完善的环境管理制度</w:t>
      </w:r>
      <w:r>
        <w:rPr>
          <w:rFonts w:hint="eastAsia" w:ascii="仿宋_GB2312" w:eastAsia="仿宋_GB2312" w:cs="仿宋_GB2312"/>
          <w:color w:val="000000" w:themeColor="text1"/>
          <w:kern w:val="0"/>
          <w:sz w:val="32"/>
          <w:szCs w:val="32"/>
          <w:lang w:val="en-US" w:eastAsia="zh-CN"/>
          <w14:textFill>
            <w14:solidFill>
              <w14:schemeClr w14:val="tx1"/>
            </w14:solidFill>
          </w14:textFill>
        </w:rPr>
        <w:t>和</w:t>
      </w:r>
      <w:r>
        <w:rPr>
          <w:rFonts w:hint="eastAsia" w:ascii="仿宋_GB2312" w:eastAsia="仿宋_GB2312" w:cs="仿宋_GB2312"/>
          <w:color w:val="000000" w:themeColor="text1"/>
          <w:kern w:val="0"/>
          <w:sz w:val="32"/>
          <w:szCs w:val="32"/>
          <w14:textFill>
            <w14:solidFill>
              <w14:schemeClr w14:val="tx1"/>
            </w14:solidFill>
          </w14:textFill>
        </w:rPr>
        <w:t>风险</w:t>
      </w:r>
      <w:r>
        <w:rPr>
          <w:rFonts w:hint="eastAsia" w:ascii="仿宋_GB2312" w:eastAsia="仿宋_GB2312" w:cs="仿宋_GB2312"/>
          <w:color w:val="000000" w:themeColor="text1"/>
          <w:kern w:val="0"/>
          <w:sz w:val="32"/>
          <w:szCs w:val="32"/>
          <w:lang w:val="en-US" w:eastAsia="zh-CN"/>
          <w14:textFill>
            <w14:solidFill>
              <w14:schemeClr w14:val="tx1"/>
            </w14:solidFill>
          </w14:textFill>
        </w:rPr>
        <w:t>防范</w:t>
      </w:r>
      <w:r>
        <w:rPr>
          <w:rFonts w:hint="eastAsia" w:ascii="仿宋_GB2312" w:eastAsia="仿宋_GB2312" w:cs="仿宋_GB2312"/>
          <w:color w:val="000000" w:themeColor="text1"/>
          <w:kern w:val="0"/>
          <w:sz w:val="32"/>
          <w:szCs w:val="32"/>
          <w14:textFill>
            <w14:solidFill>
              <w14:schemeClr w14:val="tx1"/>
            </w14:solidFill>
          </w14:textFill>
        </w:rPr>
        <w:t>措施，设施配备齐全，加强相关人员培训。加强风险源管控，严格落实《报告表》中环境风险防范措施，有效防范和应对环境风险。</w:t>
      </w:r>
    </w:p>
    <w:p w14:paraId="79A383D2">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14:textFill>
            <w14:solidFill>
              <w14:schemeClr w14:val="tx1"/>
            </w14:solidFill>
          </w14:textFill>
        </w:rPr>
        <w:t>五、严格落实《报告表》中各项环境管理要求及清洁生产措施。企业须按照国家和地方排污许可有关规定，及时办理排污许可相关事宜。</w:t>
      </w:r>
    </w:p>
    <w:p w14:paraId="09108599">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14:textFill>
            <w14:solidFill>
              <w14:schemeClr w14:val="tx1"/>
            </w14:solidFill>
          </w14:textFill>
        </w:rPr>
        <w:t>六、在项目运营过程中，应建立畅通的公众参与平台，及时解决公众担忧的环境问题，满足公众合理的环境诉求。定期发布企业环境信息，主动接受社会监督。</w:t>
      </w:r>
    </w:p>
    <w:p w14:paraId="579D269B">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七、进一步</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强化污染源管理工作。按照国家和地方有关规定，建设规范的污染物排放口，设立标志牌。</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同时还要严格按照环境监测管理规定和监测技术规范等相关要求以及《报告表》提出的相关监测要求，</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设计、建设、维护永久性采样口、采样测试平台</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等，并认真落实各项监测工作要求。</w:t>
      </w:r>
    </w:p>
    <w:p w14:paraId="55B235F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八、</w:t>
      </w:r>
      <w:r>
        <w:rPr>
          <w:rFonts w:hint="eastAsia" w:ascii="仿宋_GB2312" w:eastAsia="仿宋_GB2312" w:cs="仿宋_GB2312"/>
          <w:snapToGrid w:val="0"/>
          <w:color w:val="000000" w:themeColor="text1"/>
          <w:kern w:val="0"/>
          <w:sz w:val="32"/>
          <w:szCs w:val="32"/>
          <w14:textFill>
            <w14:solidFill>
              <w14:schemeClr w14:val="tx1"/>
            </w14:solidFill>
          </w14:textFill>
        </w:rPr>
        <w:t>严格执行建设项目环境保护“三同时”制度。</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项目竣工后，须按规定开展环境保护设施竣工验收工作</w:t>
      </w:r>
      <w:r>
        <w:rPr>
          <w:rFonts w:hint="eastAsia" w:ascii="仿宋_GB2312" w:eastAsia="仿宋_GB2312" w:cs="仿宋_GB2312"/>
          <w:color w:val="000000" w:themeColor="text1"/>
          <w:spacing w:val="0"/>
          <w:kern w:val="0"/>
          <w:sz w:val="32"/>
          <w:szCs w:val="32"/>
          <w:shd w:val="clear" w:color="auto" w:fill="FFFFFF"/>
          <w:lang w:val="zh-CN" w:eastAsia="zh-CN"/>
          <w14:textFill>
            <w14:solidFill>
              <w14:schemeClr w14:val="tx1"/>
            </w14:solidFill>
          </w14:textFill>
        </w:rPr>
        <w:t>。</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验收合格后，项目方可正式投入生产或者使用，未经验收或者验收不合格的，不得投入生产或者使用。本项目环境影响评价文件经批准后，项目发生重大变动的，应按照相关法律法规的规定和要求，</w:t>
      </w:r>
      <w:r>
        <w:rPr>
          <w:rFonts w:hint="eastAsia" w:ascii="仿宋_GB2312" w:eastAsia="仿宋_GB2312" w:cs="仿宋_GB2312"/>
          <w:color w:val="000000" w:themeColor="text1"/>
          <w:spacing w:val="0"/>
          <w:kern w:val="0"/>
          <w:sz w:val="32"/>
          <w:szCs w:val="32"/>
          <w:shd w:val="clear" w:color="auto" w:fill="FFFFFF"/>
          <w:lang w:eastAsia="zh-CN"/>
          <w14:textFill>
            <w14:solidFill>
              <w14:schemeClr w14:val="tx1"/>
            </w14:solidFill>
          </w14:textFill>
        </w:rPr>
        <w:t>依法依规</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重新报批本项目环境影响评价文件。自批复之日起五年后方决定开工建设的，须将环评文件报行政审批部门重新审核。</w:t>
      </w:r>
    </w:p>
    <w:p w14:paraId="552A393E">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640" w:firstLineChars="2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九、</w:t>
      </w:r>
      <w:r>
        <w:rPr>
          <w:rFonts w:hint="eastAsia" w:ascii="仿宋_GB2312" w:eastAsia="仿宋_GB2312" w:cs="仿宋_GB2312"/>
          <w:color w:val="000000" w:themeColor="text1"/>
          <w:kern w:val="0"/>
          <w:sz w:val="32"/>
          <w:szCs w:val="32"/>
          <w14:textFill>
            <w14:solidFill>
              <w14:schemeClr w14:val="tx1"/>
            </w14:solidFill>
          </w14:textFill>
        </w:rPr>
        <w:t>你公司在接到本批复后</w:t>
      </w: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的10个工作日内</w:t>
      </w:r>
      <w:r>
        <w:rPr>
          <w:rFonts w:hint="eastAsia" w:ascii="仿宋_GB2312" w:eastAsia="仿宋_GB2312" w:cs="仿宋_GB2312"/>
          <w:color w:val="000000" w:themeColor="text1"/>
          <w:kern w:val="0"/>
          <w:sz w:val="32"/>
          <w:szCs w:val="32"/>
          <w14:textFill>
            <w14:solidFill>
              <w14:schemeClr w14:val="tx1"/>
            </w14:solidFill>
          </w14:textFill>
        </w:rPr>
        <w:t>，须将《报告表》及其批复文件送至生态环境行政主管部门备案，</w:t>
      </w:r>
      <w:r>
        <w:rPr>
          <w:rFonts w:hint="eastAsia" w:ascii="仿宋_GB2312" w:eastAsia="仿宋_GB2312" w:cs="仿宋_GB2312"/>
          <w:color w:val="000000" w:themeColor="text1"/>
          <w:kern w:val="0"/>
          <w:sz w:val="32"/>
          <w:szCs w:val="32"/>
          <w:shd w:val="clear" w:color="auto" w:fill="FFFFFF"/>
          <w14:textFill>
            <w14:solidFill>
              <w14:schemeClr w14:val="tx1"/>
            </w14:solidFill>
          </w14:textFill>
        </w:rPr>
        <w:t>并按规定接受各级生态环境行政主管部门的监督检查。</w:t>
      </w:r>
      <w:bookmarkEnd w:id="0"/>
    </w:p>
    <w:p w14:paraId="1B005CF0">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320" w:firstLineChars="1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p>
    <w:p w14:paraId="60399859">
      <w:pPr>
        <w:pStyle w:val="2"/>
        <w:keepNext w:val="0"/>
        <w:keepLines w:val="0"/>
        <w:pageBreakBefore w:val="0"/>
        <w:widowControl w:val="0"/>
        <w:kinsoku/>
        <w:wordWrap/>
        <w:overflowPunct w:val="0"/>
        <w:topLinePunct w:val="0"/>
        <w:autoSpaceDE w:val="0"/>
        <w:autoSpaceDN w:val="0"/>
        <w:bidi w:val="0"/>
        <w:adjustRightInd w:val="0"/>
        <w:snapToGrid w:val="0"/>
        <w:spacing w:after="0" w:line="560" w:lineRule="exact"/>
        <w:ind w:firstLine="320" w:firstLineChars="1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p>
    <w:p w14:paraId="7E2507A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440" w:firstLineChars="1700"/>
        <w:textAlignment w:val="auto"/>
        <w:outlineLvl w:val="9"/>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秦皇岛市行政审批局</w:t>
      </w:r>
    </w:p>
    <w:p w14:paraId="2E0EB087">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5760" w:firstLineChars="1800"/>
        <w:textAlignment w:val="auto"/>
        <w:outlineLvl w:val="9"/>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2026</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年</w:t>
      </w: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1</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月</w:t>
      </w:r>
      <w:r>
        <w:rPr>
          <w:rFonts w:hint="eastAsia" w:ascii="仿宋_GB2312" w:eastAsia="仿宋_GB2312" w:cs="仿宋_GB2312"/>
          <w:color w:val="000000" w:themeColor="text1"/>
          <w:spacing w:val="0"/>
          <w:kern w:val="0"/>
          <w:sz w:val="32"/>
          <w:szCs w:val="32"/>
          <w:shd w:val="clear" w:color="auto" w:fill="FFFFFF"/>
          <w:lang w:val="en-US" w:eastAsia="zh-CN"/>
          <w14:textFill>
            <w14:solidFill>
              <w14:schemeClr w14:val="tx1"/>
            </w14:solidFill>
          </w14:textFill>
        </w:rPr>
        <w:t>8</w:t>
      </w:r>
      <w:r>
        <w:rPr>
          <w:rFonts w:hint="eastAsia" w:ascii="仿宋_GB2312" w:eastAsia="仿宋_GB2312" w:cs="仿宋_GB2312"/>
          <w:color w:val="000000" w:themeColor="text1"/>
          <w:spacing w:val="0"/>
          <w:kern w:val="0"/>
          <w:sz w:val="32"/>
          <w:szCs w:val="32"/>
          <w:shd w:val="clear" w:color="auto" w:fill="FFFFFF"/>
          <w14:textFill>
            <w14:solidFill>
              <w14:schemeClr w14:val="tx1"/>
            </w14:solidFill>
          </w14:textFill>
        </w:rPr>
        <w:t>日</w:t>
      </w:r>
    </w:p>
    <w:sectPr>
      <w:footerReference r:id="rId3" w:type="default"/>
      <w:pgSz w:w="11906" w:h="16838"/>
      <w:pgMar w:top="1984" w:right="1474" w:bottom="1871"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168D">
    <w:pPr>
      <w:pStyle w:val="11"/>
    </w:pP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505"/>
                      </a:xfrm>
                      <a:prstGeom prst="rect">
                        <a:avLst/>
                      </a:prstGeom>
                      <a:noFill/>
                      <a:ln w="9525" cap="flat" cmpd="sng">
                        <a:noFill/>
                        <a:prstDash val="solid"/>
                        <a:round/>
                      </a:ln>
                    </wps:spPr>
                    <wps:txbx>
                      <w:txbxContent>
                        <w:p w14:paraId="238E4DE9">
                          <w:pPr>
                            <w:pStyle w:val="11"/>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jwHC0QAAAAMBAAAPAAAAAAAAAAEAIAAAACIAAABkcnMvZG93bnJldi54&#10;bWxQSwECFAAUAAAACACHTuJAg6vYOgECAAD0AwAADgAAAAAAAAABACAAAAAgAQAAZHJzL2Uyb0Rv&#10;Yy54bWxQSwUGAAAAAAYABgBZAQAAkwUAAAAA&#10;">
              <v:fill on="f" focussize="0,0"/>
              <v:stroke on="f" joinstyle="round"/>
              <v:imagedata o:title=""/>
              <o:lock v:ext="edit" aspectratio="f"/>
              <v:textbox inset="0mm,0mm,0mm,0mm" style="mso-fit-shape-to-text:t;">
                <w:txbxContent>
                  <w:p w14:paraId="238E4DE9">
                    <w:pPr>
                      <w:pStyle w:val="11"/>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- 7 -</w:t>
                    </w:r>
                    <w:r>
                      <w:rPr>
                        <w:rFonts w:hint="eastAsia" w:ascii="宋体" w:cs="宋体"/>
                        <w:sz w:val="28"/>
                        <w:szCs w:val="28"/>
                      </w:rPr>
                      <w:fldChar w:fldCharType="end"/>
                    </w:r>
                  </w:p>
                </w:txbxContent>
              </v:textbox>
            </v:rect>
          </w:pict>
        </mc:Fallback>
      </mc:AlternateContent>
    </w: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76200" cy="139700"/>
              <wp:effectExtent l="0" t="0" r="0" b="0"/>
              <wp:wrapNone/>
              <wp:docPr id="4" name="文本框 2"/>
              <wp:cNvGraphicFramePr/>
              <a:graphic xmlns:a="http://schemas.openxmlformats.org/drawingml/2006/main">
                <a:graphicData uri="http://schemas.microsoft.com/office/word/2010/wordprocessingShape">
                  <wps:wsp>
                    <wps:cNvSpPr/>
                    <wps:spPr>
                      <a:xfrm>
                        <a:off x="0" y="0"/>
                        <a:ext cx="76200" cy="139526"/>
                      </a:xfrm>
                      <a:prstGeom prst="rect">
                        <a:avLst/>
                      </a:prstGeom>
                      <a:noFill/>
                      <a:ln w="9525" cap="flat" cmpd="sng">
                        <a:noFill/>
                        <a:prstDash val="solid"/>
                        <a:round/>
                      </a:ln>
                    </wps:spPr>
                    <wps:txbx>
                      <w:txbxContent>
                        <w:p w14:paraId="1F62B803">
                          <w:pPr>
                            <w:pStyle w:val="11"/>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6pt;mso-position-horizontal:outside;mso-position-horizontal-relative:margin;mso-wrap-style:none;z-index:251659264;mso-width-relative:page;mso-height-relative:page;" filled="f" stroked="f" coordsize="21600,21600" o:gfxdata="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EtqIs8AAAADAQAADwAAAAAAAAABACAAAAAiAAAAZHJzL2Rvd25yZXYueG1s&#10;UEsBAhQAFAAAAAgAh07iQLWrUZIBAgAA8wMAAA4AAAAAAAAAAQAgAAAAHgEAAGRycy9lMm9Eb2Mu&#10;eG1sUEsFBgAAAAAGAAYAWQEAAJEFAAAAAA==&#10;">
              <v:fill on="f" focussize="0,0"/>
              <v:stroke on="f" joinstyle="round"/>
              <v:imagedata o:title=""/>
              <o:lock v:ext="edit" aspectratio="f"/>
              <v:textbox inset="0mm,0mm,0mm,0mm" style="mso-fit-shape-to-text:t;">
                <w:txbxContent>
                  <w:p w14:paraId="1F62B803">
                    <w:pPr>
                      <w:pStyle w:val="11"/>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3399A"/>
    <w:multiLevelType w:val="singleLevel"/>
    <w:tmpl w:val="1C1339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TM5MjczMTQyNjAwYmVmYTllMmM1MGM0MGU5MDlhZWEifQ=="/>
  </w:docVars>
  <w:rsids>
    <w:rsidRoot w:val="00000000"/>
    <w:rsid w:val="06A967F3"/>
    <w:rsid w:val="13390EFF"/>
    <w:rsid w:val="15A44D56"/>
    <w:rsid w:val="1A2C356C"/>
    <w:rsid w:val="258C1362"/>
    <w:rsid w:val="27090EBD"/>
    <w:rsid w:val="32EA6C84"/>
    <w:rsid w:val="3AC3717D"/>
    <w:rsid w:val="3DC15BF5"/>
    <w:rsid w:val="427D180C"/>
    <w:rsid w:val="4E93713A"/>
    <w:rsid w:val="521C7446"/>
    <w:rsid w:val="54482775"/>
    <w:rsid w:val="60CC64DC"/>
    <w:rsid w:val="68023D07"/>
    <w:rsid w:val="687731D1"/>
    <w:rsid w:val="69D72179"/>
    <w:rsid w:val="6B3C6A4A"/>
    <w:rsid w:val="6D68720B"/>
    <w:rsid w:val="6E296D1B"/>
    <w:rsid w:val="748E5B2A"/>
    <w:rsid w:val="7E6D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18"/>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19"/>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7">
    <w:name w:val="heading 3"/>
    <w:basedOn w:val="1"/>
    <w:next w:val="1"/>
    <w:link w:val="20"/>
    <w:qFormat/>
    <w:uiPriority w:val="0"/>
    <w:pPr>
      <w:keepNext/>
      <w:keepLines/>
      <w:widowControl w:val="0"/>
      <w:spacing w:before="260" w:after="260" w:line="415" w:lineRule="auto"/>
      <w:outlineLvl w:val="2"/>
    </w:pPr>
    <w:rPr>
      <w:b/>
      <w:bCs/>
      <w:sz w:val="32"/>
      <w:szCs w:val="32"/>
    </w:rPr>
  </w:style>
  <w:style w:type="paragraph" w:styleId="8">
    <w:name w:val="heading 4"/>
    <w:basedOn w:val="1"/>
    <w:next w:val="1"/>
    <w:link w:val="21"/>
    <w:qFormat/>
    <w:uiPriority w:val="0"/>
    <w:pPr>
      <w:keepNext/>
      <w:keepLines/>
      <w:widowControl w:val="0"/>
      <w:spacing w:line="500" w:lineRule="exact"/>
      <w:outlineLvl w:val="3"/>
    </w:pPr>
    <w:rPr>
      <w:rFonts w:ascii="Arial" w:hAnsi="Arial" w:cs="宋体"/>
      <w:b/>
      <w:szCs w:val="24"/>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100" w:firstLineChars="100"/>
    </w:pPr>
    <w:rPr>
      <w:sz w:val="21"/>
      <w:szCs w:val="24"/>
    </w:rPr>
  </w:style>
  <w:style w:type="paragraph" w:styleId="3">
    <w:name w:val="Body Text"/>
    <w:basedOn w:val="1"/>
    <w:next w:val="4"/>
    <w:qFormat/>
    <w:uiPriority w:val="0"/>
    <w:rPr>
      <w:sz w:val="18"/>
      <w:szCs w:val="28"/>
    </w:rPr>
  </w:style>
  <w:style w:type="paragraph" w:customStyle="1" w:styleId="4">
    <w:name w:val="默认段落"/>
    <w:basedOn w:val="1"/>
    <w:qFormat/>
    <w:uiPriority w:val="0"/>
    <w:pPr>
      <w:topLinePunct w:val="0"/>
    </w:pPr>
  </w:style>
  <w:style w:type="paragraph" w:styleId="9">
    <w:name w:val="Normal Indent"/>
    <w:basedOn w:val="1"/>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10">
    <w:name w:val="Plain Text"/>
    <w:basedOn w:val="1"/>
    <w:qFormat/>
    <w:uiPriority w:val="0"/>
    <w:rPr>
      <w:rFonts w:ascii="宋体"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character" w:styleId="16">
    <w:name w:val="Strong"/>
    <w:basedOn w:val="15"/>
    <w:qFormat/>
    <w:uiPriority w:val="0"/>
    <w:rPr>
      <w:b/>
    </w:rPr>
  </w:style>
  <w:style w:type="character" w:styleId="17">
    <w:name w:val="Emphasis"/>
    <w:qFormat/>
    <w:uiPriority w:val="0"/>
    <w:rPr>
      <w:i/>
    </w:rPr>
  </w:style>
  <w:style w:type="character" w:customStyle="1" w:styleId="18">
    <w:name w:val="heading 1 Char"/>
    <w:basedOn w:val="15"/>
    <w:link w:val="5"/>
    <w:qFormat/>
    <w:uiPriority w:val="0"/>
    <w:rPr>
      <w:rFonts w:ascii="Calibri" w:hAnsi="Calibri" w:eastAsia="宋体" w:cs="Times New Roman"/>
      <w:b/>
      <w:bCs/>
      <w:kern w:val="44"/>
      <w:sz w:val="44"/>
      <w:szCs w:val="44"/>
      <w:lang w:val="en-US" w:eastAsia="zh-CN" w:bidi="ar-SA"/>
    </w:rPr>
  </w:style>
  <w:style w:type="character" w:customStyle="1" w:styleId="19">
    <w:name w:val="heading 2 Char"/>
    <w:basedOn w:val="15"/>
    <w:link w:val="6"/>
    <w:qFormat/>
    <w:uiPriority w:val="0"/>
    <w:rPr>
      <w:rFonts w:ascii="Times New Roman" w:hAnsi="Times New Roman" w:eastAsia="黑体" w:cs="Times New Roman"/>
      <w:b/>
      <w:bCs/>
      <w:kern w:val="2"/>
      <w:sz w:val="32"/>
      <w:szCs w:val="32"/>
      <w:lang w:val="en-US" w:eastAsia="zh-CN" w:bidi="ar-SA"/>
    </w:rPr>
  </w:style>
  <w:style w:type="character" w:customStyle="1" w:styleId="20">
    <w:name w:val="heading 3 Char"/>
    <w:basedOn w:val="15"/>
    <w:link w:val="7"/>
    <w:qFormat/>
    <w:uiPriority w:val="0"/>
    <w:rPr>
      <w:rFonts w:ascii="Calibri" w:hAnsi="Calibri" w:eastAsia="宋体" w:cs="Times New Roman"/>
      <w:b/>
      <w:bCs/>
      <w:kern w:val="2"/>
      <w:sz w:val="32"/>
      <w:szCs w:val="32"/>
      <w:lang w:val="en-US" w:eastAsia="zh-CN" w:bidi="ar-SA"/>
    </w:rPr>
  </w:style>
  <w:style w:type="character" w:customStyle="1" w:styleId="21">
    <w:name w:val="heading 4 Char"/>
    <w:basedOn w:val="15"/>
    <w:link w:val="8"/>
    <w:qFormat/>
    <w:uiPriority w:val="0"/>
    <w:rPr>
      <w:rFonts w:ascii="Arial" w:hAnsi="Arial" w:eastAsia="宋体" w:cs="宋体"/>
      <w:b/>
      <w:kern w:val="2"/>
      <w:sz w:val="21"/>
      <w:szCs w:val="24"/>
      <w:lang w:val="en-US" w:eastAsia="zh-CN" w:bidi="ar-SA"/>
    </w:rPr>
  </w:style>
  <w:style w:type="character" w:customStyle="1" w:styleId="22">
    <w:name w:val="qowt-font4-gb2312"/>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99503-6F06-4EBD-82D9-B2FD82FB99DC}">
  <ds:schemaRefs/>
</ds:datastoreItem>
</file>

<file path=docProps/app.xml><?xml version="1.0" encoding="utf-8"?>
<Properties xmlns="http://schemas.openxmlformats.org/officeDocument/2006/extended-properties" xmlns:vt="http://schemas.openxmlformats.org/officeDocument/2006/docPropsVTypes">
  <Template>Normal.eit</Template>
  <Pages>4</Pages>
  <Words>2063</Words>
  <Characters>2141</Characters>
  <Lines>0</Lines>
  <Paragraphs>26</Paragraphs>
  <TotalTime>9</TotalTime>
  <ScaleCrop>false</ScaleCrop>
  <LinksUpToDate>false</LinksUpToDate>
  <CharactersWithSpaces>2143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2020-12-16T06:31:00Z</dcterms:created>
  <dc:creator>雯</dc:creator>
  <cp:lastModifiedBy>五花肉</cp:lastModifiedBy>
  <cp:lastPrinted>2021-03-22T09:10:00Z</cp:lastPrinted>
  <dcterms:modified xsi:type="dcterms:W3CDTF">2026-01-08T01:28:35Z</dcterms:modified>
  <dc:title> </dc:title>
  <cp:revision>360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AC57DD210C57429B8AB02D601FBC16AB</vt:lpwstr>
  </property>
  <property fmtid="{D5CDD505-2E9C-101B-9397-08002B2CF9AE}" pid="4" name="KSOTemplateDocerSaveRecord">
    <vt:lpwstr>eyJoZGlkIjoiZWM5MTkyMmUxZDY3YTU1ZDM0MDYwZGM0ZTQ2OTdjNmQiLCJ1c2VySWQiOiIzNDI5MDEwMzkifQ==</vt:lpwstr>
  </property>
</Properties>
</file>