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5248E">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ascii="仿宋" w:hAnsi="仿宋" w:eastAsia="仿宋" w:cs="Times New Roman"/>
          <w:b/>
          <w:bCs/>
          <w:kern w:val="0"/>
          <w:sz w:val="44"/>
          <w:szCs w:val="44"/>
        </w:rPr>
      </w:pPr>
      <w:r>
        <w:rPr>
          <w:rFonts w:hint="eastAsia" w:ascii="仿宋" w:hAnsi="仿宋" w:eastAsia="仿宋" w:cs="Times New Roman"/>
          <w:sz w:val="32"/>
          <w:szCs w:val="32"/>
        </w:rPr>
        <w:t xml:space="preserve">     </w:t>
      </w:r>
    </w:p>
    <w:p w14:paraId="4261AA84">
      <w:pPr>
        <w:keepNext w:val="0"/>
        <w:keepLines w:val="0"/>
        <w:pageBreakBefore w:val="0"/>
        <w:widowControl w:val="0"/>
        <w:kinsoku/>
        <w:wordWrap/>
        <w:overflowPunct/>
        <w:topLinePunct w:val="0"/>
        <w:autoSpaceDE/>
        <w:autoSpaceDN/>
        <w:bidi w:val="0"/>
        <w:adjustRightInd/>
        <w:snapToGrid/>
        <w:spacing w:before="156" w:beforeLines="50" w:after="157" w:afterLines="50" w:line="560" w:lineRule="exact"/>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秦审批环准许〔</w:t>
      </w:r>
      <w:r>
        <w:rPr>
          <w:rFonts w:hint="eastAsia" w:ascii="Times New Roman" w:hAnsi="Times New Roman" w:eastAsia="仿宋_GB2312" w:cs="仿宋_GB2312"/>
          <w:color w:val="auto"/>
          <w:sz w:val="32"/>
          <w:szCs w:val="32"/>
          <w:lang w:eastAsia="zh-CN"/>
        </w:rPr>
        <w:t>202</w:t>
      </w:r>
      <w:r>
        <w:rPr>
          <w:rFonts w:hint="default"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〕0</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-00</w:t>
      </w:r>
      <w:r>
        <w:rPr>
          <w:rFonts w:hint="default" w:ascii="Times New Roman" w:hAnsi="Times New Roman" w:eastAsia="仿宋_GB2312" w:cs="仿宋_GB2312"/>
          <w:color w:val="auto"/>
          <w:sz w:val="32"/>
          <w:szCs w:val="32"/>
          <w:lang w:val="en-US" w:eastAsia="zh-CN"/>
        </w:rPr>
        <w:t>01</w:t>
      </w:r>
      <w:r>
        <w:rPr>
          <w:rFonts w:hint="eastAsia" w:ascii="Times New Roman" w:hAnsi="Times New Roman" w:eastAsia="仿宋_GB2312" w:cs="仿宋_GB2312"/>
          <w:color w:val="auto"/>
          <w:sz w:val="32"/>
          <w:szCs w:val="32"/>
        </w:rPr>
        <w:t>号</w:t>
      </w:r>
    </w:p>
    <w:p w14:paraId="3095401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t>关于</w:t>
      </w:r>
      <w:r>
        <w:rPr>
          <w:rFonts w:hint="default" w:ascii="方正小标宋简体" w:hAnsi="方正小标宋简体" w:eastAsia="方正小标宋简体" w:cs="方正小标宋简体"/>
          <w:kern w:val="44"/>
          <w:sz w:val="44"/>
          <w:szCs w:val="44"/>
          <w:lang w:val="en-US" w:eastAsia="zh-CN"/>
        </w:rPr>
        <w:t>青龙满族自治县建筑垃圾及矿山固废综合利用建设项目</w:t>
      </w:r>
      <w:r>
        <w:rPr>
          <w:rFonts w:hint="eastAsia" w:ascii="方正小标宋简体" w:hAnsi="方正小标宋简体" w:eastAsia="方正小标宋简体" w:cs="方正小标宋简体"/>
          <w:kern w:val="44"/>
          <w:sz w:val="44"/>
          <w:szCs w:val="44"/>
        </w:rPr>
        <w:t>环境影响报告表的批复</w:t>
      </w:r>
    </w:p>
    <w:p w14:paraId="07F7CF14">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仿宋" w:hAnsi="仿宋" w:eastAsia="仿宋" w:cs="Times New Roman"/>
          <w:sz w:val="32"/>
          <w:szCs w:val="32"/>
          <w:lang w:eastAsia="zh-CN"/>
        </w:rPr>
      </w:pPr>
    </w:p>
    <w:p w14:paraId="49F6A27D">
      <w:pPr>
        <w:keepNext w:val="0"/>
        <w:keepLines w:val="0"/>
        <w:pageBreakBefore w:val="0"/>
        <w:widowControl w:val="0"/>
        <w:kinsoku/>
        <w:wordWrap/>
        <w:overflowPunct/>
        <w:topLinePunct w:val="0"/>
        <w:autoSpaceDE/>
        <w:autoSpaceDN/>
        <w:bidi w:val="0"/>
        <w:snapToGrid w:val="0"/>
        <w:spacing w:line="560" w:lineRule="exact"/>
        <w:ind w:left="0" w:right="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青龙满族自治县秦鼎环境工程有限公司</w:t>
      </w:r>
      <w:r>
        <w:rPr>
          <w:rFonts w:hint="eastAsia" w:ascii="仿宋_GB2312" w:hAnsi="仿宋_GB2312" w:eastAsia="仿宋_GB2312" w:cs="仿宋_GB2312"/>
          <w:sz w:val="32"/>
          <w:szCs w:val="32"/>
        </w:rPr>
        <w:t>：</w:t>
      </w:r>
    </w:p>
    <w:p w14:paraId="6E30D22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所</w:t>
      </w:r>
      <w:r>
        <w:rPr>
          <w:rFonts w:hint="eastAsia" w:ascii="仿宋_GB2312" w:hAnsi="仿宋_GB2312" w:eastAsia="仿宋_GB2312" w:cs="仿宋_GB2312"/>
          <w:sz w:val="32"/>
          <w:szCs w:val="32"/>
        </w:rPr>
        <w:t>报《</w:t>
      </w:r>
      <w:r>
        <w:rPr>
          <w:rFonts w:hint="default" w:ascii="仿宋_GB2312" w:hAnsi="仿宋_GB2312" w:eastAsia="仿宋_GB2312" w:cs="仿宋_GB2312"/>
          <w:sz w:val="32"/>
          <w:szCs w:val="32"/>
          <w:lang w:val="en-US" w:eastAsia="zh-CN"/>
        </w:rPr>
        <w:t>青龙满族自治县建筑垃圾及矿山固废综合利用建设项目</w:t>
      </w:r>
      <w:r>
        <w:rPr>
          <w:rFonts w:hint="eastAsia" w:ascii="仿宋_GB2312" w:hAnsi="仿宋_GB2312" w:eastAsia="仿宋_GB2312" w:cs="仿宋_GB2312"/>
          <w:sz w:val="32"/>
          <w:szCs w:val="32"/>
        </w:rPr>
        <w:t>环境影响报告表》（以下简称《报告表》）</w:t>
      </w:r>
      <w:r>
        <w:rPr>
          <w:rFonts w:hint="eastAsia" w:ascii="仿宋_GB2312" w:hAnsi="仿宋_GB2312" w:eastAsia="仿宋_GB2312" w:cs="仿宋_GB2312"/>
          <w:color w:val="000000"/>
          <w:sz w:val="32"/>
          <w:szCs w:val="32"/>
          <w:shd w:val="clear" w:color="auto" w:fill="FFFFFF"/>
        </w:rPr>
        <w:t>审批申请</w:t>
      </w:r>
      <w:r>
        <w:rPr>
          <w:rFonts w:hint="eastAsia" w:ascii="仿宋_GB2312" w:hAnsi="仿宋_GB2312" w:eastAsia="仿宋_GB2312" w:cs="仿宋_GB2312"/>
          <w:sz w:val="32"/>
          <w:szCs w:val="32"/>
        </w:rPr>
        <w:t>及相关材料</w:t>
      </w:r>
      <w:r>
        <w:rPr>
          <w:rFonts w:hint="eastAsia" w:ascii="仿宋_GB2312" w:hAnsi="仿宋_GB2312" w:eastAsia="仿宋_GB2312" w:cs="仿宋_GB2312"/>
          <w:color w:val="000000"/>
          <w:kern w:val="0"/>
          <w:sz w:val="32"/>
          <w:szCs w:val="32"/>
        </w:rPr>
        <w:t>收悉。</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kern w:val="0"/>
          <w:sz w:val="32"/>
          <w:szCs w:val="32"/>
          <w:lang w:val="en-US" w:eastAsia="zh-CN"/>
        </w:rPr>
        <w:t>环境影响</w:t>
      </w:r>
      <w:r>
        <w:rPr>
          <w:rFonts w:hint="eastAsia" w:ascii="仿宋_GB2312" w:hAnsi="仿宋_GB2312" w:eastAsia="仿宋_GB2312" w:cs="仿宋_GB2312"/>
          <w:color w:val="auto"/>
          <w:kern w:val="0"/>
          <w:sz w:val="32"/>
          <w:szCs w:val="32"/>
        </w:rPr>
        <w:t>报告</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结论、专家意见</w:t>
      </w:r>
      <w:r>
        <w:rPr>
          <w:rFonts w:hint="eastAsia" w:ascii="仿宋_GB2312" w:hAnsi="仿宋_GB2312" w:eastAsia="仿宋_GB2312" w:cs="仿宋_GB2312"/>
          <w:color w:val="auto"/>
          <w:kern w:val="0"/>
          <w:sz w:val="32"/>
          <w:szCs w:val="32"/>
          <w:lang w:val="en-US" w:eastAsia="zh-CN"/>
        </w:rPr>
        <w:t>、项目</w:t>
      </w:r>
      <w:r>
        <w:rPr>
          <w:rFonts w:hint="eastAsia" w:ascii="仿宋_GB2312" w:hAnsi="仿宋_GB2312" w:eastAsia="仿宋_GB2312" w:cs="仿宋_GB2312"/>
          <w:color w:val="auto"/>
          <w:kern w:val="0"/>
          <w:sz w:val="32"/>
          <w:szCs w:val="32"/>
        </w:rPr>
        <w:t>环境影响特点及</w:t>
      </w:r>
      <w:r>
        <w:rPr>
          <w:rFonts w:hint="eastAsia" w:ascii="仿宋_GB2312" w:hAnsi="仿宋_GB2312" w:eastAsia="仿宋_GB2312" w:cs="仿宋_GB2312"/>
          <w:color w:val="auto"/>
          <w:kern w:val="0"/>
          <w:sz w:val="32"/>
          <w:szCs w:val="32"/>
          <w:lang w:val="en-US" w:eastAsia="zh-CN"/>
        </w:rPr>
        <w:t>公示反馈等方面情况</w:t>
      </w:r>
      <w:r>
        <w:rPr>
          <w:rFonts w:hint="eastAsia" w:ascii="仿宋_GB2312" w:hAnsi="仿宋_GB2312" w:eastAsia="仿宋_GB2312" w:cs="仿宋_GB2312"/>
          <w:color w:val="auto"/>
          <w:kern w:val="0"/>
          <w:sz w:val="32"/>
          <w:szCs w:val="32"/>
        </w:rPr>
        <w:t xml:space="preserve">，经研究，现批复如下： </w:t>
      </w:r>
    </w:p>
    <w:p w14:paraId="768295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项目建设内容和总体要求</w:t>
      </w:r>
    </w:p>
    <w:p w14:paraId="786990F0">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该项目位于</w:t>
      </w:r>
      <w:r>
        <w:rPr>
          <w:rFonts w:hint="default" w:ascii="仿宋_GB2312" w:hAnsi="仿宋_GB2312" w:eastAsia="仿宋_GB2312" w:cs="仿宋_GB2312"/>
          <w:sz w:val="32"/>
          <w:szCs w:val="32"/>
        </w:rPr>
        <w:t>河北省秦皇岛市青龙满族自治县青龙镇大石门村</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为新建项目，</w:t>
      </w:r>
      <w:r>
        <w:rPr>
          <w:rFonts w:hint="eastAsia" w:ascii="仿宋_GB2312" w:hAnsi="仿宋_GB2312" w:eastAsia="仿宋_GB2312" w:cs="仿宋_GB2312"/>
          <w:color w:val="auto"/>
          <w:sz w:val="32"/>
          <w:szCs w:val="32"/>
        </w:rPr>
        <w:t>项目主要建设内容：</w:t>
      </w:r>
      <w:r>
        <w:rPr>
          <w:rFonts w:hint="default" w:ascii="仿宋_GB2312" w:hAnsi="仿宋_GB2312" w:eastAsia="仿宋_GB2312" w:cs="仿宋_GB2312"/>
          <w:color w:val="auto"/>
          <w:sz w:val="32"/>
          <w:szCs w:val="32"/>
          <w:lang w:eastAsia="zh-CN"/>
        </w:rPr>
        <w:t>本项目计划用地12000平方米，主要建建筑垃圾及矿山固废处理车间、库房、办公用房、检测室、宿舍及相关其他配套设施。新建固废处理生产线一条；透水砖生产线三条。包含破碎筛分车间、制砂车间、制砖车间。购置颚式破碎机、圆锥破碎机、给料机、振动机、制砂球磨机、洗砂机、干排压滤机、皮带运输机等设备及配套设施。工艺流程：建筑垃圾及矿山固废进行破碎、分选、加工制砖。年处理固废砂石和建筑垃圾250万吨、年生产透水砖（规格:200mm*100mm*60mm）1.96亿块（单班年产392万平方米）。</w:t>
      </w:r>
      <w:r>
        <w:rPr>
          <w:rFonts w:hint="eastAsia" w:ascii="仿宋_GB2312" w:hAnsi="仿宋_GB2312" w:eastAsia="仿宋_GB2312" w:cs="仿宋_GB2312"/>
          <w:color w:val="auto"/>
          <w:sz w:val="32"/>
          <w:szCs w:val="32"/>
          <w:lang w:eastAsia="zh-CN"/>
        </w:rPr>
        <w:t>项目总投资5460万元，其中环保投资</w:t>
      </w:r>
      <w:r>
        <w:rPr>
          <w:rFonts w:hint="default"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lang w:eastAsia="zh-CN"/>
        </w:rPr>
        <w:t>0万元，占总投资的1.46%。</w:t>
      </w:r>
    </w:p>
    <w:p w14:paraId="561B0C3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项目不属于《产业结构调整指导目录》（20</w:t>
      </w:r>
      <w:r>
        <w:rPr>
          <w:rFonts w:hint="default" w:ascii="仿宋_GB2312" w:hAnsi="仿宋_GB2312" w:eastAsia="仿宋_GB2312" w:cs="仿宋_GB2312"/>
          <w:kern w:val="0"/>
          <w:sz w:val="32"/>
          <w:szCs w:val="32"/>
        </w:rPr>
        <w:t>24</w:t>
      </w:r>
      <w:r>
        <w:rPr>
          <w:rFonts w:hint="eastAsia" w:ascii="仿宋_GB2312" w:hAnsi="仿宋_GB2312" w:eastAsia="仿宋_GB2312" w:cs="仿宋_GB2312"/>
          <w:kern w:val="0"/>
          <w:sz w:val="32"/>
          <w:szCs w:val="32"/>
        </w:rPr>
        <w:t>年本）限制、淘汰类；</w:t>
      </w:r>
      <w:r>
        <w:rPr>
          <w:rFonts w:hint="eastAsia" w:ascii="仿宋_GB2312" w:hAnsi="仿宋_GB2312" w:eastAsia="仿宋_GB2312" w:cs="仿宋_GB2312"/>
          <w:sz w:val="32"/>
          <w:szCs w:val="32"/>
        </w:rPr>
        <w:t>不属于</w:t>
      </w:r>
      <w:r>
        <w:rPr>
          <w:rFonts w:hint="eastAsia" w:ascii="仿宋_GB2312" w:hAnsi="仿宋_GB2312" w:eastAsia="仿宋_GB2312" w:cs="仿宋_GB2312"/>
          <w:kern w:val="0"/>
          <w:sz w:val="32"/>
          <w:szCs w:val="32"/>
        </w:rPr>
        <w:t>《秦皇岛市限制和禁止投资的产业目录》（2020年修订版）限制和禁止类；该项目已通过</w:t>
      </w:r>
      <w:r>
        <w:rPr>
          <w:rFonts w:hint="default" w:ascii="仿宋_GB2312" w:hAnsi="仿宋_GB2312" w:eastAsia="仿宋_GB2312" w:cs="仿宋_GB2312"/>
          <w:kern w:val="0"/>
          <w:sz w:val="32"/>
          <w:szCs w:val="32"/>
          <w:lang w:eastAsia="zh-CN"/>
        </w:rPr>
        <w:t>青龙满族自治县行政审批局</w:t>
      </w:r>
      <w:r>
        <w:rPr>
          <w:rFonts w:hint="eastAsia" w:ascii="仿宋_GB2312" w:hAnsi="仿宋_GB2312" w:eastAsia="仿宋_GB2312" w:cs="仿宋_GB2312"/>
          <w:kern w:val="0"/>
          <w:sz w:val="32"/>
          <w:szCs w:val="32"/>
        </w:rPr>
        <w:t>备案</w:t>
      </w:r>
      <w:r>
        <w:rPr>
          <w:rFonts w:hint="default" w:ascii="仿宋_GB2312" w:hAnsi="仿宋_GB2312" w:eastAsia="仿宋_GB2312" w:cs="仿宋_GB2312"/>
          <w:kern w:val="0"/>
          <w:sz w:val="32"/>
          <w:szCs w:val="32"/>
        </w:rPr>
        <w:t>,</w:t>
      </w:r>
      <w:r>
        <w:rPr>
          <w:rFonts w:hint="default" w:ascii="Times New Roman" w:hAnsi="Times New Roman" w:eastAsia="仿宋" w:cs="Times New Roman"/>
          <w:sz w:val="32"/>
          <w:szCs w:val="32"/>
          <w:highlight w:val="none"/>
        </w:rPr>
        <w:t>备案编号:</w:t>
      </w:r>
      <w:r>
        <w:rPr>
          <w:rFonts w:hint="eastAsia" w:ascii="仿宋_GB2312" w:hAnsi="仿宋_GB2312" w:eastAsia="仿宋_GB2312" w:cs="仿宋_GB2312"/>
          <w:color w:val="auto"/>
          <w:kern w:val="0"/>
          <w:sz w:val="32"/>
          <w:szCs w:val="32"/>
        </w:rPr>
        <w:t>青审批投资备〔2025〕857号</w:t>
      </w:r>
      <w:r>
        <w:rPr>
          <w:rFonts w:hint="eastAsia" w:ascii="仿宋_GB2312" w:hAnsi="仿宋_GB2312" w:eastAsia="仿宋_GB2312" w:cs="仿宋_GB2312"/>
          <w:color w:val="auto"/>
          <w:kern w:val="0"/>
          <w:sz w:val="32"/>
          <w:szCs w:val="32"/>
          <w:lang w:val="en-US" w:eastAsia="zh-CN"/>
        </w:rPr>
        <w:t>。</w:t>
      </w:r>
    </w:p>
    <w:p w14:paraId="1D69C713">
      <w:pPr>
        <w:keepNext w:val="0"/>
        <w:keepLines w:val="0"/>
        <w:pageBreakBefore w:val="0"/>
        <w:widowControl w:val="0"/>
        <w:kinsoku/>
        <w:wordWrap/>
        <w:overflowPunct/>
        <w:topLinePunct w:val="0"/>
        <w:autoSpaceDE/>
        <w:autoSpaceDN/>
        <w:bidi w:val="0"/>
        <w:snapToGrid w:val="0"/>
        <w:spacing w:line="560" w:lineRule="exact"/>
        <w:ind w:righ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该《报告表》已通过河北超泰环保科技有限公司评估，结合评估意见（超泰环评［2025］0</w:t>
      </w:r>
      <w:r>
        <w:rPr>
          <w:rFonts w:hint="default" w:ascii="仿宋_GB2312" w:hAnsi="仿宋_GB2312" w:eastAsia="仿宋_GB2312" w:cs="仿宋_GB2312"/>
          <w:color w:val="000000"/>
          <w:kern w:val="0"/>
          <w:sz w:val="32"/>
          <w:szCs w:val="32"/>
          <w:lang w:val="en-US"/>
        </w:rPr>
        <w:t>52</w:t>
      </w:r>
      <w:r>
        <w:rPr>
          <w:rFonts w:hint="eastAsia" w:ascii="仿宋_GB2312" w:hAnsi="仿宋_GB2312" w:eastAsia="仿宋_GB2312" w:cs="仿宋_GB2312"/>
          <w:color w:val="000000"/>
          <w:kern w:val="0"/>
          <w:sz w:val="32"/>
          <w:szCs w:val="32"/>
        </w:rPr>
        <w:t>号）及公示反馈情况，在项目符合国家和地方产业政策，选址符合用地规划及环境保护功能区划以及全面落实环境影响报告表提出的各项污染防治措施后，工程建设对环境的不利影响能够得到减缓和控制。我局原则同意环境影响报告表中所列建设项目的地点、性质、规模、工艺和拟采取的环境保护措施。</w:t>
      </w:r>
    </w:p>
    <w:p w14:paraId="473CD9BF">
      <w:pPr>
        <w:keepNext w:val="0"/>
        <w:keepLines w:val="0"/>
        <w:pageBreakBefore w:val="0"/>
        <w:widowControl w:val="0"/>
        <w:kinsoku/>
        <w:wordWrap/>
        <w:overflowPunct/>
        <w:topLinePunct w:val="0"/>
        <w:autoSpaceDE/>
        <w:autoSpaceDN/>
        <w:bidi w:val="0"/>
        <w:snapToGrid w:val="0"/>
        <w:spacing w:line="560" w:lineRule="exact"/>
        <w:ind w:left="0" w:righ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项目须加强生产全过程管理，强化综合利用，降低能耗物耗，减少各种污染物的产生量和排放量。同时，你公司在项目建设和运行过程中要认真落实《报告表》提出的各项污染防治措施，确保各治污设施正常运行，各种污染物达标排放，各项环保设施设计应当由具有环保设施工程设计资质的单位承担，按照要求</w:t>
      </w:r>
      <w:r>
        <w:rPr>
          <w:rFonts w:hint="eastAsia" w:ascii="仿宋_GB2312" w:hAnsi="仿宋_GB2312" w:eastAsia="仿宋_GB2312" w:cs="仿宋_GB2312"/>
          <w:spacing w:val="-6"/>
          <w:sz w:val="32"/>
          <w:szCs w:val="32"/>
        </w:rPr>
        <w:t>认真落实各项污染防治措施，加强环保设施运营管理，确保满足相关要求，</w:t>
      </w:r>
      <w:r>
        <w:rPr>
          <w:rFonts w:hint="eastAsia" w:ascii="仿宋_GB2312" w:hAnsi="仿宋_GB2312" w:eastAsia="仿宋_GB2312" w:cs="仿宋_GB2312"/>
          <w:color w:val="000000"/>
          <w:kern w:val="0"/>
          <w:sz w:val="32"/>
          <w:szCs w:val="32"/>
        </w:rPr>
        <w:t>并重点做好以下工作：</w:t>
      </w:r>
    </w:p>
    <w:p w14:paraId="475A8E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16"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lang w:eastAsia="zh-CN"/>
        </w:rPr>
        <w:t>（一）</w:t>
      </w:r>
      <w:r>
        <w:rPr>
          <w:rFonts w:hint="eastAsia" w:ascii="仿宋_GB2312" w:hAnsi="仿宋_GB2312" w:eastAsia="仿宋_GB2312" w:cs="仿宋_GB2312"/>
          <w:color w:val="000000"/>
          <w:spacing w:val="-6"/>
          <w:sz w:val="32"/>
          <w:szCs w:val="32"/>
        </w:rPr>
        <w:t>加强施工期环境管理，减少施工对环境的影响</w:t>
      </w:r>
    </w:p>
    <w:p w14:paraId="19BBADCD">
      <w:pPr>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color w:val="auto"/>
          <w:spacing w:val="-6"/>
          <w:sz w:val="32"/>
          <w:szCs w:val="32"/>
        </w:rPr>
      </w:pPr>
      <w:r>
        <w:rPr>
          <w:rFonts w:hint="default" w:ascii="仿宋_GB2312" w:hAnsi="仿宋_GB2312" w:eastAsia="仿宋_GB2312" w:cs="仿宋_GB2312"/>
          <w:color w:val="000000"/>
          <w:spacing w:val="-6"/>
          <w:sz w:val="32"/>
          <w:szCs w:val="32"/>
        </w:rPr>
        <w:t xml:space="preserve">  </w:t>
      </w:r>
      <w:r>
        <w:rPr>
          <w:rFonts w:hint="default"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6"/>
          <w:sz w:val="32"/>
          <w:szCs w:val="32"/>
        </w:rPr>
        <w:t>1</w:t>
      </w:r>
      <w:r>
        <w:rPr>
          <w:rFonts w:hint="eastAsia" w:ascii="仿宋_GB2312" w:hAnsi="仿宋_GB2312" w:eastAsia="仿宋_GB2312" w:cs="仿宋_GB2312"/>
          <w:color w:val="auto"/>
          <w:spacing w:val="-6"/>
          <w:sz w:val="32"/>
          <w:szCs w:val="32"/>
          <w:lang w:val="en-US" w:eastAsia="zh-CN"/>
        </w:rPr>
        <w:t>.</w:t>
      </w:r>
      <w:r>
        <w:rPr>
          <w:rFonts w:hint="eastAsia" w:ascii="仿宋_GB2312" w:hAnsi="仿宋_GB2312" w:eastAsia="仿宋_GB2312" w:cs="仿宋_GB2312"/>
          <w:color w:val="auto"/>
          <w:spacing w:val="-6"/>
          <w:sz w:val="32"/>
          <w:szCs w:val="32"/>
          <w:shd w:val="clear" w:color="auto" w:fill="auto"/>
        </w:rPr>
        <w:t>建设及施工单位要严格执行《河北省2023年建筑施工扬尘污染防治工作方案（冀建质安函[2023]105号）》，《河北省扬尘污染防治办法》（河北省人民政府令[2020]第1号），《秦皇岛市人民政府关于印发秦皇岛市2020年度大气污染防治行动实施方案》、《秦皇岛市2021年扬尘污染综合治理工作方案》，以及《中共河北省委、河北省人民政府关于强力推进大气污染综合治理的意见》（冀发〔2017〕7号）中有关施工扬尘的管理规定，同时结合《防治城市扬尘污染技术规范》(HJ/T393-2007)及同类施工场地采取的抑尘措施，落实各项控制扬尘污染措施，施工场地扬尘排放执行《施工场地扬尘排放标准》（DB13/2934-2019）的要求。施工</w:t>
      </w:r>
      <w:r>
        <w:rPr>
          <w:rFonts w:hint="default" w:ascii="仿宋_GB2312" w:hAnsi="仿宋_GB2312" w:eastAsia="仿宋_GB2312" w:cs="仿宋_GB2312"/>
          <w:color w:val="auto"/>
          <w:spacing w:val="-6"/>
          <w:sz w:val="32"/>
          <w:szCs w:val="32"/>
          <w:shd w:val="clear" w:color="auto" w:fill="auto"/>
        </w:rPr>
        <w:t>废水</w:t>
      </w:r>
      <w:r>
        <w:rPr>
          <w:rFonts w:hint="eastAsia" w:ascii="仿宋_GB2312" w:hAnsi="仿宋_GB2312" w:eastAsia="仿宋_GB2312" w:cs="仿宋_GB2312"/>
          <w:color w:val="auto"/>
          <w:spacing w:val="-6"/>
          <w:sz w:val="32"/>
          <w:szCs w:val="32"/>
          <w:shd w:val="clear" w:color="auto" w:fill="auto"/>
        </w:rPr>
        <w:t>经临时沉淀池沉淀后循环利用</w:t>
      </w:r>
      <w:r>
        <w:rPr>
          <w:rFonts w:hint="default" w:ascii="仿宋_GB2312" w:hAnsi="仿宋_GB2312" w:eastAsia="仿宋_GB2312" w:cs="仿宋_GB2312"/>
          <w:color w:val="auto"/>
          <w:spacing w:val="-6"/>
          <w:sz w:val="32"/>
          <w:szCs w:val="32"/>
          <w:shd w:val="clear" w:color="auto" w:fill="auto"/>
        </w:rPr>
        <w:t>，施工人员盥洗废水生活污水就地泼洒抑尘</w:t>
      </w:r>
      <w:r>
        <w:rPr>
          <w:rFonts w:hint="default" w:ascii="仿宋_GB2312" w:hAnsi="仿宋_GB2312" w:eastAsia="仿宋_GB2312" w:cs="仿宋_GB2312"/>
          <w:color w:val="auto"/>
          <w:spacing w:val="-6"/>
          <w:sz w:val="32"/>
          <w:szCs w:val="32"/>
          <w:shd w:val="clear" w:color="auto" w:fill="auto"/>
          <w:lang w:val="en-US"/>
        </w:rPr>
        <w:t>,施工人员依托附近公厕</w:t>
      </w:r>
      <w:r>
        <w:rPr>
          <w:rFonts w:hint="eastAsia" w:ascii="仿宋_GB2312" w:hAnsi="仿宋_GB2312" w:eastAsia="仿宋_GB2312" w:cs="仿宋_GB2312"/>
          <w:color w:val="auto"/>
          <w:spacing w:val="-6"/>
          <w:sz w:val="32"/>
          <w:szCs w:val="32"/>
          <w:shd w:val="clear" w:color="auto" w:fill="auto"/>
        </w:rPr>
        <w:t>。</w:t>
      </w:r>
      <w:r>
        <w:rPr>
          <w:rFonts w:hint="eastAsia" w:ascii="仿宋_GB2312" w:hAnsi="仿宋_GB2312" w:eastAsia="仿宋_GB2312" w:cs="仿宋_GB2312"/>
          <w:color w:val="auto"/>
          <w:spacing w:val="-6"/>
          <w:sz w:val="32"/>
          <w:szCs w:val="32"/>
          <w:shd w:val="clear" w:color="auto" w:fill="auto"/>
          <w:lang w:eastAsia="zh-CN"/>
        </w:rPr>
        <w:t>本项目</w:t>
      </w:r>
      <w:r>
        <w:rPr>
          <w:rFonts w:hint="eastAsia" w:ascii="仿宋_GB2312" w:hAnsi="仿宋_GB2312" w:eastAsia="仿宋_GB2312" w:cs="仿宋_GB2312"/>
          <w:color w:val="auto"/>
          <w:spacing w:val="-6"/>
          <w:sz w:val="32"/>
          <w:szCs w:val="32"/>
          <w:shd w:val="clear" w:color="auto" w:fill="auto"/>
        </w:rPr>
        <w:t>采用低噪声、低振动施工机械，避免高噪声机械同时作业，合理安排施工时间及进度，禁止夜间施工，确需夜间施工的，提前到相关部门登记并告知周边村民，施工阶段作业噪声要满足《建筑施工场界环境噪声排放标准》(GB12523-20</w:t>
      </w:r>
      <w:r>
        <w:rPr>
          <w:rFonts w:hint="default" w:ascii="仿宋_GB2312" w:hAnsi="仿宋_GB2312" w:eastAsia="仿宋_GB2312" w:cs="仿宋_GB2312"/>
          <w:color w:val="auto"/>
          <w:spacing w:val="-6"/>
          <w:sz w:val="32"/>
          <w:szCs w:val="32"/>
          <w:shd w:val="clear" w:color="auto" w:fill="auto"/>
          <w:lang w:val="en-US"/>
        </w:rPr>
        <w:t>25</w:t>
      </w:r>
      <w:r>
        <w:rPr>
          <w:rFonts w:hint="eastAsia" w:ascii="仿宋_GB2312" w:hAnsi="仿宋_GB2312" w:eastAsia="仿宋_GB2312" w:cs="仿宋_GB2312"/>
          <w:color w:val="auto"/>
          <w:spacing w:val="-6"/>
          <w:sz w:val="32"/>
          <w:szCs w:val="32"/>
          <w:shd w:val="clear" w:color="auto" w:fill="auto"/>
        </w:rPr>
        <w:t>)</w:t>
      </w:r>
      <w:r>
        <w:rPr>
          <w:rFonts w:hint="eastAsia" w:ascii="仿宋_GB2312" w:hAnsi="仿宋_GB2312" w:eastAsia="仿宋_GB2312" w:cs="仿宋_GB2312"/>
          <w:color w:val="auto"/>
          <w:spacing w:val="-6"/>
          <w:sz w:val="32"/>
          <w:szCs w:val="32"/>
          <w:shd w:val="clear" w:color="auto" w:fill="auto"/>
          <w:lang w:eastAsia="zh-CN"/>
        </w:rPr>
        <w:t>中限值</w:t>
      </w:r>
      <w:r>
        <w:rPr>
          <w:rFonts w:hint="eastAsia" w:ascii="仿宋_GB2312" w:hAnsi="仿宋_GB2312" w:eastAsia="仿宋_GB2312" w:cs="仿宋_GB2312"/>
          <w:color w:val="auto"/>
          <w:spacing w:val="-6"/>
          <w:sz w:val="32"/>
          <w:szCs w:val="32"/>
          <w:shd w:val="clear" w:color="auto" w:fill="auto"/>
        </w:rPr>
        <w:t>要求；施工期产生的生活垃圾由环卫部门统一收集处置</w:t>
      </w:r>
      <w:r>
        <w:rPr>
          <w:rFonts w:hint="eastAsia" w:ascii="仿宋_GB2312" w:hAnsi="仿宋_GB2312" w:eastAsia="仿宋_GB2312" w:cs="仿宋_GB2312"/>
          <w:color w:val="auto"/>
          <w:spacing w:val="-6"/>
          <w:sz w:val="32"/>
          <w:szCs w:val="32"/>
          <w:shd w:val="clear" w:color="auto" w:fill="auto"/>
          <w:lang w:eastAsia="zh-CN"/>
        </w:rPr>
        <w:t>，</w:t>
      </w:r>
      <w:r>
        <w:rPr>
          <w:rFonts w:hint="eastAsia" w:ascii="仿宋_GB2312" w:hAnsi="仿宋_GB2312" w:eastAsia="仿宋_GB2312" w:cs="仿宋_GB2312"/>
          <w:color w:val="auto"/>
          <w:spacing w:val="-6"/>
          <w:sz w:val="32"/>
          <w:szCs w:val="32"/>
          <w:shd w:val="clear" w:color="auto" w:fill="auto"/>
        </w:rPr>
        <w:t>建筑垃圾</w:t>
      </w:r>
      <w:r>
        <w:rPr>
          <w:rFonts w:hint="eastAsia" w:ascii="仿宋_GB2312" w:hAnsi="仿宋_GB2312" w:eastAsia="仿宋_GB2312" w:cs="仿宋_GB2312"/>
          <w:color w:val="auto"/>
          <w:spacing w:val="-6"/>
          <w:sz w:val="32"/>
          <w:szCs w:val="32"/>
          <w:shd w:val="clear" w:color="auto" w:fill="auto"/>
          <w:lang w:eastAsia="zh-CN"/>
        </w:rPr>
        <w:t>须依法依规进行处置</w:t>
      </w:r>
      <w:r>
        <w:rPr>
          <w:rFonts w:hint="eastAsia" w:ascii="仿宋_GB2312" w:hAnsi="仿宋_GB2312" w:eastAsia="仿宋_GB2312" w:cs="仿宋_GB2312"/>
          <w:color w:val="auto"/>
          <w:spacing w:val="-6"/>
          <w:sz w:val="32"/>
          <w:szCs w:val="32"/>
          <w:shd w:val="clear" w:color="auto" w:fill="auto"/>
        </w:rPr>
        <w:t>。</w:t>
      </w:r>
    </w:p>
    <w:p w14:paraId="0D336031">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加强防腐防渗措施。按《报告表》要求进行相应的防腐防渗施工。</w:t>
      </w:r>
    </w:p>
    <w:p w14:paraId="2E9064E3">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（二）加强运营期环保设施管理，认真落实各项污染防治措施，确保满足相关要求。</w:t>
      </w:r>
    </w:p>
    <w:p w14:paraId="05971B4E">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严格落实大气污染防治措施</w:t>
      </w:r>
    </w:p>
    <w:p w14:paraId="352800BD">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default"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rPr>
        <w:t>（1）</w:t>
      </w:r>
      <w:r>
        <w:rPr>
          <w:rFonts w:hint="default" w:ascii="仿宋_GB2312" w:hAnsi="仿宋_GB2312" w:eastAsia="仿宋_GB2312" w:cs="仿宋_GB2312"/>
          <w:color w:val="auto"/>
          <w:spacing w:val="-6"/>
          <w:sz w:val="32"/>
          <w:szCs w:val="32"/>
          <w:lang w:eastAsia="zh-CN"/>
        </w:rPr>
        <w:t>有组织废气</w:t>
      </w:r>
    </w:p>
    <w:p w14:paraId="3EFCBE47">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default"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本项目在破碎机进出料口设施喷雾抑尘装置，破碎机进、出料口设置集尘装置，收集的粉尘经1套布袋除尘器处理后通过1根15m排气筒（DA001）排放；本项目在筛分机进出料口设施喷雾抑尘装置，筛分出料口设置集尘装置，收集的粉尘经1套布袋除尘器处理后通过1根15m排气筒（DA002）排放。</w:t>
      </w:r>
      <w:r>
        <w:rPr>
          <w:rFonts w:hint="default" w:ascii="仿宋_GB2312" w:hAnsi="仿宋_GB2312" w:eastAsia="仿宋_GB2312" w:cs="仿宋_GB2312"/>
          <w:color w:val="auto"/>
          <w:spacing w:val="-6"/>
          <w:sz w:val="32"/>
          <w:szCs w:val="32"/>
          <w:lang w:eastAsia="zh-CN"/>
        </w:rPr>
        <w:t xml:space="preserve"> 所排废气须满足《石灰工业大气污染物排放标准》（DB13/1641-2025）表2排放限值要求。</w:t>
      </w:r>
    </w:p>
    <w:p w14:paraId="35E34FA1">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default" w:ascii="仿宋_GB2312" w:hAnsi="仿宋_GB2312" w:eastAsia="仿宋_GB2312" w:cs="仿宋_GB2312"/>
          <w:color w:val="auto"/>
          <w:spacing w:val="-6"/>
          <w:sz w:val="32"/>
          <w:szCs w:val="32"/>
          <w:lang w:val="en-US" w:eastAsia="zh-CN"/>
        </w:rPr>
      </w:pPr>
      <w:r>
        <w:rPr>
          <w:rFonts w:hint="default" w:ascii="仿宋_GB2312" w:hAnsi="仿宋_GB2312" w:eastAsia="仿宋_GB2312" w:cs="仿宋_GB2312"/>
          <w:color w:val="auto"/>
          <w:spacing w:val="-6"/>
          <w:sz w:val="32"/>
          <w:szCs w:val="32"/>
          <w:lang w:eastAsia="zh-CN"/>
        </w:rPr>
        <w:t>水泥通过槽罐车运输，槽罐车到场后，使用输送管泵送至水泥罐。制砖车间搅拌及水泥罐废气经收集后引入1台袋式除尘器处理，处理后经一根15m排气筒（DA003）排放</w:t>
      </w:r>
      <w:r>
        <w:rPr>
          <w:rFonts w:hint="eastAsia" w:ascii="仿宋_GB2312" w:hAnsi="仿宋_GB2312" w:eastAsia="仿宋_GB2312" w:cs="仿宋_GB2312"/>
          <w:color w:val="auto"/>
          <w:spacing w:val="-6"/>
          <w:sz w:val="32"/>
          <w:szCs w:val="32"/>
          <w:lang w:val="en-US" w:eastAsia="zh-CN"/>
        </w:rPr>
        <w:t>。</w:t>
      </w:r>
    </w:p>
    <w:p w14:paraId="0BE47DE3">
      <w:pPr>
        <w:pStyle w:val="2"/>
        <w:ind w:firstLine="616" w:firstLineChars="200"/>
        <w:rPr>
          <w:rFonts w:hint="default" w:ascii="仿宋_GB2312" w:hAnsi="仿宋_GB2312" w:eastAsia="仿宋_GB2312" w:cs="仿宋_GB2312"/>
          <w:color w:val="auto"/>
          <w:spacing w:val="-6"/>
          <w:sz w:val="32"/>
          <w:szCs w:val="32"/>
          <w:lang w:eastAsia="zh-CN"/>
        </w:rPr>
      </w:pPr>
      <w:r>
        <w:rPr>
          <w:rFonts w:hint="default" w:ascii="仿宋_GB2312" w:hAnsi="仿宋_GB2312" w:eastAsia="仿宋_GB2312" w:cs="仿宋_GB2312"/>
          <w:color w:val="auto"/>
          <w:spacing w:val="-6"/>
          <w:sz w:val="32"/>
          <w:szCs w:val="32"/>
          <w:lang w:eastAsia="zh-CN"/>
        </w:rPr>
        <w:t>有组织颗粒物</w:t>
      </w:r>
      <w:r>
        <w:rPr>
          <w:rFonts w:hint="eastAsia" w:ascii="仿宋_GB2312" w:hAnsi="仿宋_GB2312" w:eastAsia="仿宋_GB2312" w:cs="仿宋_GB2312"/>
          <w:color w:val="auto"/>
          <w:spacing w:val="-6"/>
          <w:sz w:val="32"/>
          <w:szCs w:val="32"/>
          <w:lang w:eastAsia="zh-CN"/>
        </w:rPr>
        <w:t>须满足</w:t>
      </w:r>
      <w:r>
        <w:rPr>
          <w:rFonts w:hint="default" w:ascii="仿宋_GB2312" w:hAnsi="仿宋_GB2312" w:eastAsia="仿宋_GB2312" w:cs="仿宋_GB2312"/>
          <w:color w:val="auto"/>
          <w:spacing w:val="-6"/>
          <w:sz w:val="32"/>
          <w:szCs w:val="32"/>
          <w:lang w:eastAsia="zh-CN"/>
        </w:rPr>
        <w:t>《水泥工业大气污染物超低排放标准》（DB13/2167-2020》</w:t>
      </w:r>
      <w:r>
        <w:rPr>
          <w:rFonts w:hint="eastAsia" w:ascii="仿宋_GB2312" w:hAnsi="仿宋_GB2312" w:eastAsia="仿宋_GB2312" w:cs="仿宋_GB2312"/>
          <w:color w:val="auto"/>
          <w:spacing w:val="-6"/>
          <w:sz w:val="32"/>
          <w:szCs w:val="32"/>
          <w:lang w:eastAsia="zh-CN"/>
        </w:rPr>
        <w:t>标准要求，同时满足</w:t>
      </w:r>
      <w:r>
        <w:rPr>
          <w:rFonts w:hint="default" w:ascii="仿宋_GB2312" w:hAnsi="仿宋_GB2312" w:eastAsia="仿宋_GB2312" w:cs="仿宋_GB2312"/>
          <w:color w:val="auto"/>
          <w:spacing w:val="-6"/>
          <w:sz w:val="32"/>
          <w:szCs w:val="32"/>
          <w:lang w:eastAsia="zh-CN"/>
        </w:rPr>
        <w:t>《关于执行钢铁等行业大气污染物排放特别要求的通知》（秦皇岛市人民政府办公室[2021]-10）相关要求。</w:t>
      </w:r>
    </w:p>
    <w:p w14:paraId="4C3A6496">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default"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w:t>
      </w:r>
      <w:r>
        <w:rPr>
          <w:rFonts w:hint="default"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lang w:val="en-US" w:eastAsia="zh-CN"/>
        </w:rPr>
        <w:t>）</w:t>
      </w:r>
      <w:r>
        <w:rPr>
          <w:rFonts w:hint="default" w:ascii="仿宋_GB2312" w:hAnsi="仿宋_GB2312" w:eastAsia="仿宋_GB2312" w:cs="仿宋_GB2312"/>
          <w:color w:val="auto"/>
          <w:spacing w:val="-6"/>
          <w:sz w:val="32"/>
          <w:szCs w:val="32"/>
          <w:lang w:val="en-US" w:eastAsia="zh-CN"/>
        </w:rPr>
        <w:t>无组织废气</w:t>
      </w:r>
    </w:p>
    <w:p w14:paraId="5A267C84">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default"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val="en-US" w:eastAsia="zh-CN"/>
        </w:rPr>
        <w:t>本项目</w:t>
      </w:r>
      <w:r>
        <w:rPr>
          <w:rFonts w:hint="default" w:ascii="仿宋_GB2312" w:hAnsi="仿宋_GB2312" w:eastAsia="仿宋_GB2312" w:cs="仿宋_GB2312"/>
          <w:color w:val="auto"/>
          <w:spacing w:val="-6"/>
          <w:sz w:val="32"/>
          <w:szCs w:val="32"/>
          <w:lang w:eastAsia="zh-CN"/>
        </w:rPr>
        <w:t>采用</w:t>
      </w:r>
      <w:r>
        <w:rPr>
          <w:rFonts w:hint="eastAsia" w:ascii="仿宋_GB2312" w:hAnsi="仿宋_GB2312" w:eastAsia="仿宋_GB2312" w:cs="仿宋_GB2312"/>
          <w:color w:val="auto"/>
          <w:spacing w:val="-6"/>
          <w:sz w:val="32"/>
          <w:szCs w:val="32"/>
          <w:lang w:val="en-US" w:eastAsia="zh-CN"/>
        </w:rPr>
        <w:t>密闭原料库，且设有喷淋抑尘，破碎筛分车间和制砖车间均密闭，采取喷淋抑尘，项目运输车辆进出厂覆盖篷布，并设置洗车平台，车辆冲洗，运输道路及厂区地面硬化，并定期洒水降尘、定期清扫等</w:t>
      </w:r>
      <w:r>
        <w:rPr>
          <w:rFonts w:hint="default" w:ascii="仿宋_GB2312" w:hAnsi="仿宋_GB2312" w:eastAsia="仿宋_GB2312" w:cs="仿宋_GB2312"/>
          <w:color w:val="auto"/>
          <w:spacing w:val="-6"/>
          <w:sz w:val="32"/>
          <w:szCs w:val="32"/>
          <w:lang w:eastAsia="zh-CN"/>
        </w:rPr>
        <w:t>措施</w:t>
      </w:r>
      <w:r>
        <w:rPr>
          <w:rFonts w:hint="eastAsia" w:ascii="仿宋_GB2312" w:hAnsi="仿宋_GB2312" w:eastAsia="仿宋_GB2312" w:cs="仿宋_GB2312"/>
          <w:color w:val="auto"/>
          <w:spacing w:val="-6"/>
          <w:sz w:val="32"/>
          <w:szCs w:val="32"/>
          <w:lang w:val="en-US" w:eastAsia="zh-CN"/>
        </w:rPr>
        <w:t>。</w:t>
      </w:r>
      <w:r>
        <w:rPr>
          <w:rFonts w:hint="default" w:ascii="仿宋_GB2312" w:hAnsi="仿宋_GB2312" w:eastAsia="仿宋_GB2312" w:cs="仿宋_GB2312"/>
          <w:color w:val="auto"/>
          <w:spacing w:val="-6"/>
          <w:sz w:val="32"/>
          <w:szCs w:val="32"/>
          <w:lang w:eastAsia="zh-CN"/>
        </w:rPr>
        <w:t>厂区无组织排放颗粒物浓度须满足《水泥工业大气污染物超低排放标准》（DB13/2167—2020）标准要求，同时满足《关于执行钢铁等行业大气污染物排放特别要求的通知》（秦皇岛市人民政府办公室[2021]-10）中无组织排放浓度特别管控要求</w:t>
      </w:r>
      <w:r>
        <w:rPr>
          <w:rFonts w:hint="eastAsia" w:ascii="仿宋_GB2312" w:hAnsi="仿宋_GB2312" w:eastAsia="仿宋_GB2312" w:cs="仿宋_GB2312"/>
          <w:color w:val="auto"/>
          <w:spacing w:val="-6"/>
          <w:sz w:val="32"/>
          <w:szCs w:val="32"/>
          <w:lang w:eastAsia="zh-CN"/>
        </w:rPr>
        <w:t>；厂房外无组织颗粒物满足《石灰工业大气污染物排放标准》（DB 13/1641—2025）中排放限值。</w:t>
      </w:r>
    </w:p>
    <w:p w14:paraId="71741559">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pacing w:val="-6"/>
          <w:sz w:val="32"/>
          <w:szCs w:val="32"/>
        </w:rPr>
        <w:t>2.严格落</w:t>
      </w:r>
      <w:r>
        <w:rPr>
          <w:rFonts w:hint="eastAsia" w:ascii="仿宋_GB2312" w:hAnsi="仿宋_GB2312" w:eastAsia="仿宋_GB2312" w:cs="仿宋_GB2312"/>
          <w:sz w:val="32"/>
          <w:szCs w:val="32"/>
          <w:highlight w:val="none"/>
          <w:lang w:val="en-US" w:eastAsia="zh-CN"/>
        </w:rPr>
        <w:t>实水污染防治措施</w:t>
      </w:r>
    </w:p>
    <w:p w14:paraId="52B79DB8">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default" w:ascii="仿宋_GB2312" w:hAnsi="仿宋_GB2312" w:eastAsia="仿宋_GB2312" w:cs="仿宋_GB2312"/>
          <w:color w:val="auto"/>
          <w:spacing w:val="-6"/>
          <w:sz w:val="32"/>
          <w:szCs w:val="32"/>
          <w:lang w:eastAsia="zh-CN"/>
        </w:rPr>
      </w:pPr>
      <w:r>
        <w:rPr>
          <w:rFonts w:hint="default" w:ascii="仿宋_GB2312" w:hAnsi="仿宋_GB2312" w:eastAsia="仿宋_GB2312" w:cs="仿宋_GB2312"/>
          <w:color w:val="auto"/>
          <w:spacing w:val="-6"/>
          <w:sz w:val="32"/>
          <w:szCs w:val="32"/>
          <w:lang w:eastAsia="zh-CN"/>
        </w:rPr>
        <w:t>本项目无生产废水外排。</w:t>
      </w:r>
      <w:r>
        <w:rPr>
          <w:rFonts w:hint="eastAsia" w:ascii="仿宋_GB2312" w:hAnsi="仿宋_GB2312" w:eastAsia="仿宋_GB2312" w:cs="仿宋_GB2312"/>
          <w:color w:val="auto"/>
          <w:spacing w:val="-6"/>
          <w:sz w:val="32"/>
          <w:szCs w:val="32"/>
          <w:lang w:val="en-US" w:eastAsia="zh-CN"/>
        </w:rPr>
        <w:t>球磨用水部分蒸发，部分进入产品，其余经沉淀池回用于球磨；洗砂废水部分蒸发，部分进入产品，其余经沉淀池回用于洗砂；洗车废水部分蒸发，其余经沉淀池沉淀后回用于洗车</w:t>
      </w:r>
      <w:r>
        <w:rPr>
          <w:rFonts w:hint="default" w:ascii="仿宋_GB2312" w:hAnsi="仿宋_GB2312" w:eastAsia="仿宋_GB2312" w:cs="仿宋_GB2312"/>
          <w:color w:val="auto"/>
          <w:spacing w:val="-6"/>
          <w:sz w:val="32"/>
          <w:szCs w:val="32"/>
          <w:lang w:eastAsia="zh-CN"/>
        </w:rPr>
        <w:t>。</w:t>
      </w:r>
    </w:p>
    <w:p w14:paraId="6D4FA5E0">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default" w:ascii="仿宋_GB2312" w:hAnsi="仿宋_GB2312" w:eastAsia="仿宋_GB2312" w:cs="仿宋_GB2312"/>
          <w:color w:val="auto"/>
          <w:spacing w:val="-6"/>
          <w:sz w:val="32"/>
          <w:szCs w:val="32"/>
          <w:lang w:eastAsia="zh-CN"/>
        </w:rPr>
      </w:pPr>
      <w:r>
        <w:rPr>
          <w:rFonts w:hint="default" w:ascii="仿宋_GB2312" w:hAnsi="仿宋_GB2312" w:eastAsia="仿宋_GB2312" w:cs="仿宋_GB2312"/>
          <w:color w:val="auto"/>
          <w:spacing w:val="-6"/>
          <w:sz w:val="32"/>
          <w:szCs w:val="32"/>
          <w:lang w:eastAsia="zh-CN"/>
        </w:rPr>
        <w:t>厂区内设旱厕，由当地环卫部门定期清掏；职工盥洗废水用于厂区泼洒抑尘。</w:t>
      </w:r>
    </w:p>
    <w:p w14:paraId="70D6679C">
      <w:pPr>
        <w:keepNext w:val="0"/>
        <w:keepLines w:val="0"/>
        <w:pageBreakBefore w:val="0"/>
        <w:widowControl w:val="0"/>
        <w:kinsoku/>
        <w:wordWrap/>
        <w:overflowPunct/>
        <w:topLinePunct w:val="0"/>
        <w:autoSpaceDE/>
        <w:autoSpaceDN/>
        <w:bidi w:val="0"/>
        <w:snapToGrid w:val="0"/>
        <w:spacing w:line="560" w:lineRule="exact"/>
        <w:ind w:right="0"/>
        <w:textAlignment w:val="auto"/>
        <w:rPr>
          <w:rFonts w:hint="eastAsia" w:ascii="仿宋_GB2312" w:hAnsi="仿宋_GB2312" w:eastAsia="仿宋_GB2312" w:cs="仿宋_GB2312"/>
          <w:color w:val="auto"/>
          <w:spacing w:val="-6"/>
          <w:sz w:val="32"/>
          <w:szCs w:val="32"/>
        </w:rPr>
      </w:pPr>
      <w:r>
        <w:rPr>
          <w:rFonts w:hint="default" w:ascii="仿宋_GB2312" w:hAnsi="仿宋_GB2312" w:eastAsia="仿宋_GB2312" w:cs="仿宋_GB2312"/>
          <w:kern w:val="2"/>
          <w:sz w:val="32"/>
          <w:szCs w:val="32"/>
          <w:highlight w:val="none"/>
          <w:lang w:eastAsia="zh-CN" w:bidi="ar-SA"/>
        </w:rPr>
        <w:t xml:space="preserve">    </w:t>
      </w:r>
      <w:r>
        <w:rPr>
          <w:rFonts w:hint="eastAsia" w:ascii="仿宋_GB2312" w:hAnsi="仿宋_GB2312" w:eastAsia="仿宋_GB2312" w:cs="仿宋_GB2312"/>
          <w:kern w:val="2"/>
          <w:sz w:val="32"/>
          <w:szCs w:val="32"/>
          <w:highlight w:val="none"/>
          <w:lang w:val="en-US" w:eastAsia="zh-CN" w:bidi="ar-SA"/>
        </w:rPr>
        <w:t>3.严格落实噪声污染防治</w:t>
      </w:r>
      <w:r>
        <w:rPr>
          <w:rFonts w:hint="eastAsia" w:ascii="仿宋_GB2312" w:hAnsi="仿宋_GB2312" w:eastAsia="仿宋_GB2312" w:cs="仿宋_GB2312"/>
          <w:color w:val="auto"/>
          <w:spacing w:val="-6"/>
          <w:sz w:val="32"/>
          <w:szCs w:val="32"/>
        </w:rPr>
        <w:t>措施</w:t>
      </w:r>
    </w:p>
    <w:p w14:paraId="6A714D44">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default"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采取各项降噪措施，严格控制生产过程产生的噪声对周围环境的影响。项目</w:t>
      </w:r>
      <w:r>
        <w:rPr>
          <w:rFonts w:hint="eastAsia" w:ascii="仿宋_GB2312" w:hAnsi="仿宋_GB2312" w:eastAsia="仿宋_GB2312" w:cs="仿宋_GB2312"/>
          <w:color w:val="auto"/>
          <w:spacing w:val="-6"/>
          <w:sz w:val="32"/>
          <w:szCs w:val="32"/>
          <w:lang w:eastAsia="zh-CN"/>
        </w:rPr>
        <w:t>采</w:t>
      </w:r>
      <w:r>
        <w:rPr>
          <w:rFonts w:hint="eastAsia" w:ascii="仿宋_GB2312" w:hAnsi="仿宋_GB2312" w:eastAsia="仿宋_GB2312" w:cs="仿宋_GB2312"/>
          <w:color w:val="auto"/>
          <w:spacing w:val="-6"/>
          <w:sz w:val="32"/>
          <w:szCs w:val="32"/>
        </w:rPr>
        <w:t>用厂房隔声</w:t>
      </w:r>
      <w:r>
        <w:rPr>
          <w:rFonts w:hint="default"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sz w:val="32"/>
          <w:szCs w:val="32"/>
          <w:lang w:eastAsia="zh-CN"/>
        </w:rPr>
        <w:t>距离衰减</w:t>
      </w:r>
      <w:r>
        <w:rPr>
          <w:rFonts w:hint="eastAsia" w:ascii="仿宋_GB2312" w:hAnsi="仿宋_GB2312" w:eastAsia="仿宋_GB2312" w:cs="仿宋_GB2312"/>
          <w:color w:val="auto"/>
          <w:spacing w:val="-6"/>
          <w:sz w:val="32"/>
          <w:szCs w:val="32"/>
        </w:rPr>
        <w:t>等措施，项目实施后厂界噪声须满足《工业企业厂界环境噪声排放标准》（GB12348-2008）</w:t>
      </w:r>
      <w:r>
        <w:rPr>
          <w:rFonts w:hint="eastAsia" w:ascii="仿宋_GB2312" w:hAnsi="仿宋_GB2312" w:eastAsia="仿宋_GB2312" w:cs="仿宋_GB2312"/>
          <w:color w:val="auto"/>
          <w:spacing w:val="-6"/>
          <w:sz w:val="32"/>
          <w:szCs w:val="32"/>
          <w:lang w:val="en-US" w:eastAsia="zh-CN"/>
        </w:rPr>
        <w:t>2类</w:t>
      </w:r>
      <w:r>
        <w:rPr>
          <w:rFonts w:hint="eastAsia" w:ascii="仿宋_GB2312" w:hAnsi="仿宋_GB2312" w:eastAsia="仿宋_GB2312" w:cs="仿宋_GB2312"/>
          <w:color w:val="auto"/>
          <w:spacing w:val="-6"/>
          <w:sz w:val="32"/>
          <w:szCs w:val="32"/>
        </w:rPr>
        <w:t>标准限值要求</w:t>
      </w:r>
      <w:r>
        <w:rPr>
          <w:rFonts w:hint="default" w:ascii="仿宋_GB2312" w:hAnsi="仿宋_GB2312" w:eastAsia="仿宋_GB2312" w:cs="仿宋_GB2312"/>
          <w:color w:val="auto"/>
          <w:spacing w:val="-6"/>
          <w:sz w:val="32"/>
          <w:szCs w:val="32"/>
        </w:rPr>
        <w:t>。</w:t>
      </w:r>
    </w:p>
    <w:p w14:paraId="5ACABE3D">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4.严格落实固体废物污染防治措施</w:t>
      </w:r>
    </w:p>
    <w:p w14:paraId="3DC3AEB4">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rPr>
        <w:t>企业要严格落实固体废物分类处置和综合利用措施，认真落实《报告表》规定的固体废物处理、处置措施。按照“资源化、减量化、无害化”的固废处置原则，实现综合利用。项目产生的固体废物主要为污泥、PAM废包装袋、废润滑油、废润滑油桶、废电池、除尘灰、废布袋、不合格品和生活垃圾。</w:t>
      </w:r>
    </w:p>
    <w:p w14:paraId="4B7BFD53">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除尘灰、污泥收集后作为制砖原料用于制砖，不合格品回用于生产，PAM废包装袋和废布袋外售综合利用。</w:t>
      </w:r>
    </w:p>
    <w:p w14:paraId="24D9AB3B">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default" w:ascii="仿宋_GB2312" w:hAnsi="仿宋_GB2312" w:eastAsia="仿宋_GB2312" w:cs="仿宋_GB2312"/>
          <w:color w:val="auto"/>
          <w:spacing w:val="-6"/>
          <w:sz w:val="32"/>
          <w:szCs w:val="32"/>
          <w:lang w:eastAsia="zh-CN"/>
        </w:rPr>
      </w:pPr>
      <w:r>
        <w:rPr>
          <w:rFonts w:hint="default" w:ascii="仿宋_GB2312" w:hAnsi="仿宋_GB2312" w:eastAsia="仿宋_GB2312" w:cs="仿宋_GB2312"/>
          <w:color w:val="auto"/>
          <w:spacing w:val="-6"/>
          <w:sz w:val="32"/>
          <w:szCs w:val="32"/>
          <w:lang w:eastAsia="zh-CN"/>
        </w:rPr>
        <w:t>废润滑油、废油桶、废电池为危险废物，暂存于危废间内，定期交由有资质单位运输并处置。</w:t>
      </w:r>
    </w:p>
    <w:p w14:paraId="30345C83">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default" w:ascii="仿宋_GB2312" w:hAnsi="仿宋_GB2312" w:eastAsia="仿宋_GB2312" w:cs="仿宋_GB2312"/>
          <w:color w:val="auto"/>
          <w:spacing w:val="-6"/>
          <w:sz w:val="32"/>
          <w:szCs w:val="32"/>
          <w:lang w:eastAsia="zh-CN"/>
        </w:rPr>
      </w:pPr>
      <w:r>
        <w:rPr>
          <w:rFonts w:hint="default" w:ascii="仿宋_GB2312" w:hAnsi="仿宋_GB2312" w:eastAsia="仿宋_GB2312" w:cs="仿宋_GB2312"/>
          <w:color w:val="auto"/>
          <w:spacing w:val="-6"/>
          <w:sz w:val="32"/>
          <w:szCs w:val="32"/>
          <w:lang w:eastAsia="zh-CN"/>
        </w:rPr>
        <w:t>生活垃圾统一收集后由环卫部门集中处理。</w:t>
      </w:r>
    </w:p>
    <w:p w14:paraId="19718AC8">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项目产生的</w:t>
      </w:r>
      <w:r>
        <w:rPr>
          <w:rFonts w:hint="default" w:ascii="仿宋_GB2312" w:hAnsi="仿宋_GB2312" w:eastAsia="仿宋_GB2312" w:cs="仿宋_GB2312"/>
          <w:color w:val="auto"/>
          <w:spacing w:val="-6"/>
          <w:sz w:val="32"/>
          <w:szCs w:val="32"/>
        </w:rPr>
        <w:t>一般固体废物须</w:t>
      </w:r>
      <w:r>
        <w:rPr>
          <w:rFonts w:hint="eastAsia" w:ascii="仿宋_GB2312" w:hAnsi="仿宋_GB2312" w:eastAsia="仿宋_GB2312" w:cs="仿宋_GB2312"/>
          <w:color w:val="auto"/>
          <w:spacing w:val="-6"/>
          <w:sz w:val="32"/>
          <w:szCs w:val="32"/>
          <w:lang w:val="en-US" w:eastAsia="zh-CN"/>
        </w:rPr>
        <w:t>按照《中华人民共和国固体废物污染环境防治法》的相关要求，采取防扬散、防流失、防渗漏等措施</w:t>
      </w:r>
      <w:r>
        <w:rPr>
          <w:rFonts w:hint="default"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危险废物及危险废物暂存库须满足</w:t>
      </w:r>
      <w:r>
        <w:rPr>
          <w:rFonts w:hint="eastAsia" w:ascii="仿宋_GB2312" w:hAnsi="仿宋_GB2312" w:eastAsia="仿宋_GB2312" w:cs="仿宋_GB2312"/>
          <w:sz w:val="32"/>
          <w:szCs w:val="32"/>
          <w:highlight w:val="none"/>
        </w:rPr>
        <w:t>《危险废物贮存污染控制标准》</w:t>
      </w:r>
      <w:r>
        <w:rPr>
          <w:rFonts w:hint="eastAsia" w:ascii="仿宋_GB2312" w:hAnsi="仿宋_GB2312" w:eastAsia="仿宋_GB2312" w:cs="仿宋_GB2312"/>
          <w:color w:val="auto"/>
          <w:spacing w:val="-6"/>
          <w:sz w:val="32"/>
          <w:szCs w:val="32"/>
        </w:rPr>
        <w:t>（GB18597-2023）</w:t>
      </w:r>
      <w:r>
        <w:rPr>
          <w:rFonts w:hint="default" w:ascii="仿宋_GB2312" w:hAnsi="仿宋_GB2312" w:eastAsia="仿宋_GB2312" w:cs="仿宋_GB2312"/>
          <w:color w:val="auto"/>
          <w:spacing w:val="-6"/>
          <w:sz w:val="32"/>
          <w:szCs w:val="32"/>
        </w:rPr>
        <w:t>要求</w:t>
      </w:r>
      <w:r>
        <w:rPr>
          <w:rFonts w:hint="eastAsia" w:ascii="仿宋_GB2312" w:hAnsi="仿宋_GB2312" w:eastAsia="仿宋_GB2312" w:cs="仿宋_GB2312"/>
          <w:color w:val="auto"/>
          <w:spacing w:val="-6"/>
          <w:sz w:val="32"/>
          <w:szCs w:val="32"/>
        </w:rPr>
        <w:t>。</w:t>
      </w:r>
    </w:p>
    <w:p w14:paraId="590997D7">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认真</w:t>
      </w:r>
      <w:r>
        <w:rPr>
          <w:rFonts w:hint="eastAsia" w:ascii="仿宋_GB2312" w:hAnsi="仿宋_GB2312" w:eastAsia="仿宋_GB2312" w:cs="仿宋_GB2312"/>
          <w:sz w:val="32"/>
          <w:szCs w:val="32"/>
        </w:rPr>
        <w:t>落实《报告表》其他环境管理要求。</w:t>
      </w:r>
    </w:p>
    <w:p w14:paraId="3D4D8F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三、</w:t>
      </w:r>
      <w:r>
        <w:rPr>
          <w:rFonts w:hint="eastAsia" w:ascii="仿宋_GB2312" w:hAnsi="仿宋_GB2312" w:eastAsia="仿宋_GB2312" w:cs="仿宋_GB2312"/>
          <w:spacing w:val="-6"/>
          <w:sz w:val="32"/>
          <w:szCs w:val="32"/>
        </w:rPr>
        <w:t>强化环境风险防范和应急措施。制订完善的环境管理、风险管理措施，设施配备齐全，加强相关人员培训</w:t>
      </w:r>
      <w:r>
        <w:rPr>
          <w:rFonts w:hint="eastAsia" w:ascii="仿宋_GB2312" w:hAnsi="仿宋_GB2312" w:eastAsia="仿宋_GB2312" w:cs="仿宋_GB2312"/>
          <w:color w:val="000000"/>
          <w:kern w:val="0"/>
          <w:sz w:val="32"/>
          <w:szCs w:val="32"/>
        </w:rPr>
        <w:t>。加强风险源管控，严格落实《报告表》中环境风险防范措施，办理突发环境事件应急相关手续，并与当地政府及相关部门应急预案做好衔接，定期进行应急培训和</w:t>
      </w:r>
      <w:r>
        <w:rPr>
          <w:rFonts w:hint="eastAsia" w:ascii="仿宋_GB2312" w:hAnsi="仿宋_GB2312" w:eastAsia="仿宋_GB2312" w:cs="仿宋_GB2312"/>
          <w:spacing w:val="-6"/>
          <w:sz w:val="32"/>
          <w:szCs w:val="32"/>
        </w:rPr>
        <w:t>演练，有效防范和应对环境风险。</w:t>
      </w:r>
    </w:p>
    <w:p w14:paraId="4DF491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 xml:space="preserve">认真落实《报告表》中规定的污染防治措施及清洁生产措施，项目实施后，企业须按照国家排污许可有关管理规定及时办理排污许可证。 </w:t>
      </w:r>
    </w:p>
    <w:p w14:paraId="11951762">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kern w:val="0"/>
          <w:sz w:val="32"/>
          <w:szCs w:val="32"/>
        </w:rPr>
        <w:t>五、</w:t>
      </w:r>
      <w:r>
        <w:rPr>
          <w:rFonts w:hint="eastAsia" w:ascii="仿宋_GB2312" w:hAnsi="仿宋_GB2312" w:eastAsia="仿宋_GB2312" w:cs="仿宋_GB2312"/>
          <w:spacing w:val="-6"/>
          <w:sz w:val="32"/>
          <w:szCs w:val="32"/>
        </w:rPr>
        <w:t>在项目运营过程中，应建立畅通的公众参与平台，及时解决公众关注的环境问题，满足公众合理的环境诉求。定期发布企业环境信息，主动接受社会监督。</w:t>
      </w:r>
    </w:p>
    <w:p w14:paraId="7D86E402">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w:t>
      </w:r>
      <w:r>
        <w:rPr>
          <w:rFonts w:hint="eastAsia" w:ascii="仿宋_GB2312" w:hAnsi="仿宋_GB2312" w:eastAsia="仿宋_GB2312" w:cs="仿宋_GB2312"/>
          <w:color w:val="000000"/>
          <w:sz w:val="32"/>
          <w:szCs w:val="32"/>
          <w:shd w:val="clear" w:color="auto" w:fill="FFFFFF"/>
        </w:rPr>
        <w:t>进一步强化污染源管理工作。按照国家和地方有关规定，建设规范的污染物排放口，设立标志牌</w:t>
      </w:r>
      <w:r>
        <w:rPr>
          <w:rFonts w:hint="eastAsia" w:ascii="仿宋_GB2312" w:hAnsi="仿宋_GB2312" w:eastAsia="仿宋_GB2312" w:cs="仿宋_GB2312"/>
          <w:spacing w:val="-6"/>
          <w:sz w:val="32"/>
          <w:szCs w:val="32"/>
        </w:rPr>
        <w:t>。</w:t>
      </w:r>
      <w:r>
        <w:rPr>
          <w:rFonts w:hint="eastAsia" w:ascii="仿宋_GB2312" w:hAnsi="仿宋_GB2312" w:eastAsia="仿宋_GB2312" w:cs="仿宋_GB2312"/>
          <w:color w:val="000000"/>
          <w:sz w:val="32"/>
          <w:szCs w:val="32"/>
          <w:shd w:val="clear" w:color="auto" w:fill="FFFFFF"/>
        </w:rPr>
        <w:t>对《报告表》要求的监测内容定期开展监测，企业应按照环境监测管理规定和技术规范的要求，设计、建设、维护永久性采样口、采样测试平台。</w:t>
      </w:r>
    </w:p>
    <w:p w14:paraId="5FB45740">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七、本项目建设必须严格执行配套建设的环境保护设施与主体工程同时设计、同时施工、同时投产使用的环境保护“三同时”制度。项目竣工后，按规定开展竣工环境保护验收。验收合格后，项目方可正式投入生产，</w:t>
      </w:r>
      <w:r>
        <w:rPr>
          <w:rFonts w:hint="eastAsia" w:ascii="仿宋_GB2312" w:hAnsi="仿宋_GB2312" w:eastAsia="仿宋_GB2312" w:cs="仿宋_GB2312"/>
          <w:sz w:val="32"/>
          <w:szCs w:val="32"/>
        </w:rPr>
        <w:t>未经验收或者验收不合格的，不得投入生产或者使用</w:t>
      </w:r>
      <w:r>
        <w:rPr>
          <w:rFonts w:hint="eastAsia" w:ascii="仿宋_GB2312" w:hAnsi="仿宋_GB2312" w:eastAsia="仿宋_GB2312" w:cs="仿宋_GB2312"/>
          <w:spacing w:val="-6"/>
          <w:sz w:val="32"/>
          <w:szCs w:val="32"/>
        </w:rPr>
        <w:t>。本项目环境影响评价文件经批准后，如设计和施工变化造成工程性质、规模、工艺、防治污染的措施发生重大变动的，应当在调整前重新报批本项目环境影响评价文件。</w:t>
      </w:r>
      <w:r>
        <w:rPr>
          <w:rFonts w:hint="eastAsia" w:ascii="仿宋_GB2312" w:hAnsi="仿宋_GB2312" w:eastAsia="仿宋_GB2312" w:cs="仿宋_GB2312"/>
          <w:sz w:val="32"/>
          <w:szCs w:val="32"/>
        </w:rPr>
        <w:t>工程自批复之日起五年后方决定开工建设的，需将环评文件报我局重新审核。</w:t>
      </w:r>
    </w:p>
    <w:p w14:paraId="20D5AC96">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八、你单位在接到本批复后的10个工作日内，须将环评报告表及其批复送秦皇岛市生态环境局</w:t>
      </w:r>
      <w:r>
        <w:rPr>
          <w:rFonts w:hint="eastAsia" w:ascii="仿宋_GB2312" w:hAnsi="仿宋_GB2312" w:eastAsia="仿宋_GB2312" w:cs="仿宋_GB2312"/>
          <w:spacing w:val="-6"/>
          <w:sz w:val="32"/>
          <w:szCs w:val="32"/>
          <w:lang w:eastAsia="zh-CN"/>
        </w:rPr>
        <w:t>青龙满族自治县分局</w:t>
      </w:r>
      <w:bookmarkStart w:id="0" w:name="_GoBack"/>
      <w:bookmarkEnd w:id="0"/>
      <w:r>
        <w:rPr>
          <w:rFonts w:hint="eastAsia" w:ascii="仿宋_GB2312" w:hAnsi="仿宋_GB2312" w:eastAsia="仿宋_GB2312" w:cs="仿宋_GB2312"/>
          <w:spacing w:val="-6"/>
          <w:sz w:val="32"/>
          <w:szCs w:val="32"/>
        </w:rPr>
        <w:t>等相关部门，日常监督管理由秦皇岛市生态环境局</w:t>
      </w:r>
      <w:r>
        <w:rPr>
          <w:rFonts w:hint="eastAsia" w:ascii="仿宋_GB2312" w:hAnsi="仿宋_GB2312" w:eastAsia="仿宋_GB2312" w:cs="仿宋_GB2312"/>
          <w:spacing w:val="-6"/>
          <w:sz w:val="32"/>
          <w:szCs w:val="32"/>
          <w:lang w:eastAsia="zh-CN"/>
        </w:rPr>
        <w:t>青龙满族自治县分局</w:t>
      </w:r>
      <w:r>
        <w:rPr>
          <w:rFonts w:hint="eastAsia" w:ascii="仿宋_GB2312" w:hAnsi="仿宋_GB2312" w:eastAsia="仿宋_GB2312" w:cs="仿宋_GB2312"/>
          <w:spacing w:val="-6"/>
          <w:sz w:val="32"/>
          <w:szCs w:val="32"/>
        </w:rPr>
        <w:t>负责。建设单位须定期向秦皇岛市生态环境局</w:t>
      </w:r>
      <w:r>
        <w:rPr>
          <w:rFonts w:hint="eastAsia" w:ascii="仿宋_GB2312" w:hAnsi="仿宋_GB2312" w:eastAsia="仿宋_GB2312" w:cs="仿宋_GB2312"/>
          <w:spacing w:val="-6"/>
          <w:sz w:val="32"/>
          <w:szCs w:val="32"/>
          <w:lang w:eastAsia="zh-CN"/>
        </w:rPr>
        <w:t>青龙满族自治县分局</w:t>
      </w:r>
      <w:r>
        <w:rPr>
          <w:rFonts w:hint="eastAsia" w:ascii="仿宋_GB2312" w:hAnsi="仿宋_GB2312" w:eastAsia="仿宋_GB2312" w:cs="仿宋_GB2312"/>
          <w:spacing w:val="-6"/>
          <w:sz w:val="32"/>
          <w:szCs w:val="32"/>
        </w:rPr>
        <w:t xml:space="preserve">报告“三同时”完成情况。并按规定接受各级生态环境行政主管部门的日常监督检查。 </w:t>
      </w:r>
    </w:p>
    <w:p w14:paraId="52B3B336">
      <w:pPr>
        <w:keepNext w:val="0"/>
        <w:keepLines w:val="0"/>
        <w:pageBreakBefore w:val="0"/>
        <w:widowControl w:val="0"/>
        <w:kinsoku/>
        <w:wordWrap/>
        <w:overflowPunct/>
        <w:topLinePunct w:val="0"/>
        <w:autoSpaceDE/>
        <w:autoSpaceDN/>
        <w:bidi w:val="0"/>
        <w:adjustRightInd w:val="0"/>
        <w:snapToGrid w:val="0"/>
        <w:spacing w:line="560" w:lineRule="exact"/>
        <w:ind w:left="0" w:right="0"/>
        <w:jc w:val="right"/>
        <w:textAlignment w:val="auto"/>
        <w:rPr>
          <w:rFonts w:hint="eastAsia" w:ascii="仿宋_GB2312" w:hAnsi="仿宋_GB2312" w:eastAsia="仿宋_GB2312" w:cs="仿宋_GB2312"/>
          <w:spacing w:val="-6"/>
          <w:sz w:val="32"/>
          <w:szCs w:val="32"/>
        </w:rPr>
      </w:pPr>
    </w:p>
    <w:p w14:paraId="1C574473">
      <w:pPr>
        <w:keepNext w:val="0"/>
        <w:keepLines w:val="0"/>
        <w:pageBreakBefore w:val="0"/>
        <w:widowControl w:val="0"/>
        <w:kinsoku/>
        <w:wordWrap/>
        <w:overflowPunct/>
        <w:topLinePunct w:val="0"/>
        <w:autoSpaceDE/>
        <w:autoSpaceDN/>
        <w:bidi w:val="0"/>
        <w:adjustRightInd w:val="0"/>
        <w:snapToGrid w:val="0"/>
        <w:spacing w:line="560" w:lineRule="exact"/>
        <w:ind w:left="0" w:right="0"/>
        <w:jc w:val="righ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          </w:t>
      </w:r>
    </w:p>
    <w:p w14:paraId="1C0D443E">
      <w:pPr>
        <w:keepNext w:val="0"/>
        <w:keepLines w:val="0"/>
        <w:pageBreakBefore w:val="0"/>
        <w:widowControl w:val="0"/>
        <w:kinsoku/>
        <w:wordWrap w:val="0"/>
        <w:overflowPunct/>
        <w:topLinePunct w:val="0"/>
        <w:autoSpaceDE/>
        <w:autoSpaceDN/>
        <w:bidi w:val="0"/>
        <w:adjustRightInd w:val="0"/>
        <w:snapToGrid w:val="0"/>
        <w:spacing w:line="560" w:lineRule="exact"/>
        <w:ind w:left="0" w:right="0"/>
        <w:jc w:val="righ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 xml:space="preserve">  秦皇岛市行政审批局</w:t>
      </w:r>
      <w:r>
        <w:rPr>
          <w:rFonts w:hint="eastAsia" w:ascii="仿宋_GB2312" w:hAnsi="仿宋_GB2312" w:eastAsia="仿宋_GB2312" w:cs="仿宋_GB2312"/>
          <w:spacing w:val="-6"/>
          <w:sz w:val="32"/>
          <w:szCs w:val="32"/>
          <w:lang w:val="en-US" w:eastAsia="zh-CN"/>
        </w:rPr>
        <w:t xml:space="preserve">        </w:t>
      </w:r>
    </w:p>
    <w:p w14:paraId="18C748F5">
      <w:pPr>
        <w:keepNext w:val="0"/>
        <w:keepLines w:val="0"/>
        <w:pageBreakBefore w:val="0"/>
        <w:widowControl w:val="0"/>
        <w:kinsoku/>
        <w:wordWrap w:val="0"/>
        <w:overflowPunct/>
        <w:topLinePunct w:val="0"/>
        <w:autoSpaceDE/>
        <w:autoSpaceDN/>
        <w:bidi w:val="0"/>
        <w:adjustRightInd w:val="0"/>
        <w:snapToGrid w:val="0"/>
        <w:spacing w:line="560" w:lineRule="exact"/>
        <w:ind w:left="0" w:right="0"/>
        <w:jc w:val="right"/>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lang w:eastAsia="zh-CN"/>
        </w:rPr>
        <w:t>202</w:t>
      </w:r>
      <w:r>
        <w:rPr>
          <w:rFonts w:hint="default"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rPr>
        <w:t>年</w:t>
      </w:r>
      <w:r>
        <w:rPr>
          <w:rFonts w:hint="default"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月</w:t>
      </w:r>
      <w:r>
        <w:rPr>
          <w:rFonts w:hint="default" w:ascii="仿宋_GB2312" w:hAnsi="仿宋_GB2312" w:eastAsia="仿宋_GB2312" w:cs="仿宋_GB2312"/>
          <w:spacing w:val="-6"/>
          <w:sz w:val="32"/>
          <w:szCs w:val="32"/>
          <w:lang w:val="en-US" w:eastAsia="zh-CN"/>
        </w:rPr>
        <w:t>7</w:t>
      </w:r>
      <w:r>
        <w:rPr>
          <w:rFonts w:hint="eastAsia" w:ascii="仿宋_GB2312" w:hAnsi="仿宋_GB2312" w:eastAsia="仿宋_GB2312" w:cs="仿宋_GB2312"/>
          <w:spacing w:val="-6"/>
          <w:sz w:val="32"/>
          <w:szCs w:val="32"/>
        </w:rPr>
        <w:t>日</w:t>
      </w:r>
      <w:r>
        <w:rPr>
          <w:rFonts w:hint="eastAsia" w:ascii="仿宋_GB2312" w:hAnsi="仿宋_GB2312" w:eastAsia="仿宋_GB2312" w:cs="仿宋_GB2312"/>
          <w:spacing w:val="-6"/>
          <w:sz w:val="32"/>
          <w:szCs w:val="32"/>
          <w:lang w:val="en-US" w:eastAsia="zh-CN"/>
        </w:rPr>
        <w:t xml:space="preserve">         </w:t>
      </w:r>
    </w:p>
    <w:p w14:paraId="761BE333">
      <w:pPr>
        <w:keepNext w:val="0"/>
        <w:keepLines w:val="0"/>
        <w:pageBreakBefore w:val="0"/>
        <w:widowControl w:val="0"/>
        <w:kinsoku/>
        <w:wordWrap/>
        <w:overflowPunct/>
        <w:topLinePunct w:val="0"/>
        <w:autoSpaceDE/>
        <w:autoSpaceDN/>
        <w:bidi w:val="0"/>
        <w:snapToGrid w:val="0"/>
        <w:spacing w:line="560" w:lineRule="exact"/>
        <w:ind w:left="0" w:right="0"/>
        <w:textAlignment w:val="auto"/>
        <w:rPr>
          <w:rFonts w:hint="eastAsia" w:ascii="仿宋_GB2312" w:hAnsi="仿宋_GB2312" w:eastAsia="仿宋_GB2312" w:cs="仿宋_GB2312"/>
          <w:sz w:val="32"/>
          <w:szCs w:val="32"/>
        </w:rPr>
      </w:pPr>
    </w:p>
    <w:p w14:paraId="2DED0DA8">
      <w:pPr>
        <w:keepNext w:val="0"/>
        <w:keepLines w:val="0"/>
        <w:pageBreakBefore w:val="0"/>
        <w:widowControl w:val="0"/>
        <w:kinsoku/>
        <w:wordWrap/>
        <w:overflowPunct/>
        <w:topLinePunct w:val="0"/>
        <w:autoSpaceDE/>
        <w:autoSpaceDN/>
        <w:bidi w:val="0"/>
        <w:snapToGrid w:val="0"/>
        <w:spacing w:line="560" w:lineRule="exact"/>
        <w:ind w:left="0" w:right="0"/>
        <w:textAlignment w:val="auto"/>
        <w:rPr>
          <w:rFonts w:hint="eastAsia" w:ascii="仿宋_GB2312" w:hAnsi="仿宋_GB2312" w:eastAsia="仿宋_GB2312" w:cs="仿宋_GB2312"/>
          <w:sz w:val="32"/>
          <w:szCs w:val="32"/>
        </w:rPr>
      </w:pPr>
    </w:p>
    <w:sectPr>
      <w:footerReference r:id="rId3" w:type="default"/>
      <w:pgSz w:w="11906" w:h="16838"/>
      <w:pgMar w:top="2098" w:right="1474" w:bottom="181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3E1D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48BB2">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048BB2">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YmQwZDlkNmViYjQ2ZmZiMDlmZTkwZjUyNWZlNjAifQ=="/>
  </w:docVars>
  <w:rsids>
    <w:rsidRoot w:val="00534647"/>
    <w:rsid w:val="001A64C4"/>
    <w:rsid w:val="001D5FB4"/>
    <w:rsid w:val="00534647"/>
    <w:rsid w:val="006F6E45"/>
    <w:rsid w:val="007E0A00"/>
    <w:rsid w:val="00ED3BD8"/>
    <w:rsid w:val="00FF0D8C"/>
    <w:rsid w:val="01D628BE"/>
    <w:rsid w:val="02533DCA"/>
    <w:rsid w:val="026C13BF"/>
    <w:rsid w:val="047D0429"/>
    <w:rsid w:val="049F51EA"/>
    <w:rsid w:val="05070CB7"/>
    <w:rsid w:val="05F4418C"/>
    <w:rsid w:val="069145C1"/>
    <w:rsid w:val="08251D3B"/>
    <w:rsid w:val="082C51BD"/>
    <w:rsid w:val="09A74B9B"/>
    <w:rsid w:val="09DD006C"/>
    <w:rsid w:val="0A7C0FBB"/>
    <w:rsid w:val="0AA6765B"/>
    <w:rsid w:val="0AF97CC1"/>
    <w:rsid w:val="0C240EFB"/>
    <w:rsid w:val="0C9E3111"/>
    <w:rsid w:val="0CF74903"/>
    <w:rsid w:val="0DB60FD4"/>
    <w:rsid w:val="0E23319F"/>
    <w:rsid w:val="0E236322"/>
    <w:rsid w:val="0E423DBB"/>
    <w:rsid w:val="0E477FDC"/>
    <w:rsid w:val="0E52277A"/>
    <w:rsid w:val="0E544884"/>
    <w:rsid w:val="0E9A6529"/>
    <w:rsid w:val="0EF16B1E"/>
    <w:rsid w:val="0F12721D"/>
    <w:rsid w:val="0F243ABA"/>
    <w:rsid w:val="0F4E7F38"/>
    <w:rsid w:val="0FD75461"/>
    <w:rsid w:val="11047D69"/>
    <w:rsid w:val="116A6B7F"/>
    <w:rsid w:val="11891052"/>
    <w:rsid w:val="11B64EE8"/>
    <w:rsid w:val="11DF3773"/>
    <w:rsid w:val="12B56FA8"/>
    <w:rsid w:val="134F78C3"/>
    <w:rsid w:val="16B259FD"/>
    <w:rsid w:val="16FE7E29"/>
    <w:rsid w:val="16FFAFAE"/>
    <w:rsid w:val="17B00A83"/>
    <w:rsid w:val="18EDE22F"/>
    <w:rsid w:val="19807918"/>
    <w:rsid w:val="19C76AA2"/>
    <w:rsid w:val="1A0C2EC9"/>
    <w:rsid w:val="1A34036B"/>
    <w:rsid w:val="1ABB2361"/>
    <w:rsid w:val="1B6F1962"/>
    <w:rsid w:val="1B6F4BD3"/>
    <w:rsid w:val="1BE5119A"/>
    <w:rsid w:val="1DB05E93"/>
    <w:rsid w:val="1DE2526D"/>
    <w:rsid w:val="1EBB4A4B"/>
    <w:rsid w:val="1EE917E9"/>
    <w:rsid w:val="1F9A3113"/>
    <w:rsid w:val="1FB32933"/>
    <w:rsid w:val="1FFD7A61"/>
    <w:rsid w:val="211E5769"/>
    <w:rsid w:val="212033CF"/>
    <w:rsid w:val="213E1E2E"/>
    <w:rsid w:val="21487774"/>
    <w:rsid w:val="220B1CB9"/>
    <w:rsid w:val="22186EB3"/>
    <w:rsid w:val="22712A2C"/>
    <w:rsid w:val="23637A73"/>
    <w:rsid w:val="23E0603F"/>
    <w:rsid w:val="23F41535"/>
    <w:rsid w:val="24333E8B"/>
    <w:rsid w:val="24496731"/>
    <w:rsid w:val="24822F7E"/>
    <w:rsid w:val="24E07A09"/>
    <w:rsid w:val="253245CF"/>
    <w:rsid w:val="25481967"/>
    <w:rsid w:val="25913DA1"/>
    <w:rsid w:val="26372BA9"/>
    <w:rsid w:val="26452102"/>
    <w:rsid w:val="268C5900"/>
    <w:rsid w:val="26D3084E"/>
    <w:rsid w:val="26D853C8"/>
    <w:rsid w:val="26DA5337"/>
    <w:rsid w:val="277B343D"/>
    <w:rsid w:val="284F12A1"/>
    <w:rsid w:val="290C1FD9"/>
    <w:rsid w:val="2A6A527B"/>
    <w:rsid w:val="2A6E5785"/>
    <w:rsid w:val="2A720FDA"/>
    <w:rsid w:val="2B35714B"/>
    <w:rsid w:val="2B651583"/>
    <w:rsid w:val="2B982842"/>
    <w:rsid w:val="2BA73E61"/>
    <w:rsid w:val="2BAFC89E"/>
    <w:rsid w:val="2CAF5097"/>
    <w:rsid w:val="2CDB74AF"/>
    <w:rsid w:val="2CEC5C32"/>
    <w:rsid w:val="2CED5224"/>
    <w:rsid w:val="2DAF126F"/>
    <w:rsid w:val="2E290EE4"/>
    <w:rsid w:val="2E7C66DE"/>
    <w:rsid w:val="2FDF85E7"/>
    <w:rsid w:val="31061FC9"/>
    <w:rsid w:val="31327A6C"/>
    <w:rsid w:val="313D44EF"/>
    <w:rsid w:val="317A4765"/>
    <w:rsid w:val="31A86955"/>
    <w:rsid w:val="31AF3D3F"/>
    <w:rsid w:val="328D0DB0"/>
    <w:rsid w:val="33135D31"/>
    <w:rsid w:val="335C6818"/>
    <w:rsid w:val="336EA4DC"/>
    <w:rsid w:val="33824DF5"/>
    <w:rsid w:val="34185F28"/>
    <w:rsid w:val="344158C2"/>
    <w:rsid w:val="347C50C9"/>
    <w:rsid w:val="348B41CA"/>
    <w:rsid w:val="35531E0D"/>
    <w:rsid w:val="357B4603"/>
    <w:rsid w:val="35AB75E3"/>
    <w:rsid w:val="35D70A87"/>
    <w:rsid w:val="36644422"/>
    <w:rsid w:val="374D153F"/>
    <w:rsid w:val="37AF2BEF"/>
    <w:rsid w:val="37F9E04E"/>
    <w:rsid w:val="38807677"/>
    <w:rsid w:val="38ED4A8D"/>
    <w:rsid w:val="39D74A49"/>
    <w:rsid w:val="3A0831CA"/>
    <w:rsid w:val="3A5A3B4E"/>
    <w:rsid w:val="3BBF2232"/>
    <w:rsid w:val="3BF2360E"/>
    <w:rsid w:val="3BFF7C85"/>
    <w:rsid w:val="3C624B38"/>
    <w:rsid w:val="3C8DE232"/>
    <w:rsid w:val="3D412847"/>
    <w:rsid w:val="3D4E0F7F"/>
    <w:rsid w:val="3D5B4C61"/>
    <w:rsid w:val="3D620756"/>
    <w:rsid w:val="3D715C36"/>
    <w:rsid w:val="3D95C1D4"/>
    <w:rsid w:val="3DEB59B9"/>
    <w:rsid w:val="3EBB9D42"/>
    <w:rsid w:val="3EDA434E"/>
    <w:rsid w:val="3EFF450E"/>
    <w:rsid w:val="3F7FC6D0"/>
    <w:rsid w:val="3FC755E4"/>
    <w:rsid w:val="402537B3"/>
    <w:rsid w:val="40E5668D"/>
    <w:rsid w:val="413B7A6D"/>
    <w:rsid w:val="414D77A0"/>
    <w:rsid w:val="415E6EB8"/>
    <w:rsid w:val="437B0F37"/>
    <w:rsid w:val="43A144D7"/>
    <w:rsid w:val="441F65D2"/>
    <w:rsid w:val="45ED32A4"/>
    <w:rsid w:val="45FC4AF3"/>
    <w:rsid w:val="462F55E2"/>
    <w:rsid w:val="46F770C6"/>
    <w:rsid w:val="47AC3472"/>
    <w:rsid w:val="47F0551D"/>
    <w:rsid w:val="485909E1"/>
    <w:rsid w:val="495443BF"/>
    <w:rsid w:val="4961192A"/>
    <w:rsid w:val="497A7BA2"/>
    <w:rsid w:val="4A0805EA"/>
    <w:rsid w:val="4A9B0782"/>
    <w:rsid w:val="4AB62107"/>
    <w:rsid w:val="4B4355E5"/>
    <w:rsid w:val="4B514EDA"/>
    <w:rsid w:val="4B765E80"/>
    <w:rsid w:val="4BDC1E4C"/>
    <w:rsid w:val="4C767AF2"/>
    <w:rsid w:val="4C8229F4"/>
    <w:rsid w:val="4D010EEB"/>
    <w:rsid w:val="4E005194"/>
    <w:rsid w:val="4F1B43CA"/>
    <w:rsid w:val="4F4A365C"/>
    <w:rsid w:val="4F7505EE"/>
    <w:rsid w:val="4F774E62"/>
    <w:rsid w:val="4FC43655"/>
    <w:rsid w:val="4FD729F9"/>
    <w:rsid w:val="51F46A5E"/>
    <w:rsid w:val="52500E9E"/>
    <w:rsid w:val="52BE6086"/>
    <w:rsid w:val="52E60454"/>
    <w:rsid w:val="52F277D3"/>
    <w:rsid w:val="53183CF5"/>
    <w:rsid w:val="53650405"/>
    <w:rsid w:val="54A47AA0"/>
    <w:rsid w:val="54F95B8E"/>
    <w:rsid w:val="55111814"/>
    <w:rsid w:val="5612099E"/>
    <w:rsid w:val="56950707"/>
    <w:rsid w:val="56AED9A3"/>
    <w:rsid w:val="56FEEBAA"/>
    <w:rsid w:val="575FF8B4"/>
    <w:rsid w:val="57DA211C"/>
    <w:rsid w:val="57E32447"/>
    <w:rsid w:val="58040325"/>
    <w:rsid w:val="5886351F"/>
    <w:rsid w:val="58DC437F"/>
    <w:rsid w:val="590E0E11"/>
    <w:rsid w:val="596D0588"/>
    <w:rsid w:val="59B7197C"/>
    <w:rsid w:val="5A22466C"/>
    <w:rsid w:val="5A726CD4"/>
    <w:rsid w:val="5A9C6788"/>
    <w:rsid w:val="5AE9060E"/>
    <w:rsid w:val="5AEF02A4"/>
    <w:rsid w:val="5B314F17"/>
    <w:rsid w:val="5B7EE503"/>
    <w:rsid w:val="5BFA3674"/>
    <w:rsid w:val="5DD15318"/>
    <w:rsid w:val="5EBB44B3"/>
    <w:rsid w:val="5ED708A2"/>
    <w:rsid w:val="5EE4D61D"/>
    <w:rsid w:val="5EFF4359"/>
    <w:rsid w:val="5F38B354"/>
    <w:rsid w:val="5F5FC2DB"/>
    <w:rsid w:val="5F877DE6"/>
    <w:rsid w:val="5FA728A7"/>
    <w:rsid w:val="5FE78402"/>
    <w:rsid w:val="5FE9456F"/>
    <w:rsid w:val="60B8658C"/>
    <w:rsid w:val="60BA0556"/>
    <w:rsid w:val="60DB398B"/>
    <w:rsid w:val="616B4469"/>
    <w:rsid w:val="617DF742"/>
    <w:rsid w:val="623213C3"/>
    <w:rsid w:val="62AA67D1"/>
    <w:rsid w:val="62AB08DD"/>
    <w:rsid w:val="62B4457F"/>
    <w:rsid w:val="62F12229"/>
    <w:rsid w:val="63991244"/>
    <w:rsid w:val="63B4F1C4"/>
    <w:rsid w:val="65A5045A"/>
    <w:rsid w:val="66892A14"/>
    <w:rsid w:val="66A76F78"/>
    <w:rsid w:val="66D1118C"/>
    <w:rsid w:val="672B1033"/>
    <w:rsid w:val="67D84A3A"/>
    <w:rsid w:val="68E32EF1"/>
    <w:rsid w:val="695609FE"/>
    <w:rsid w:val="697338B5"/>
    <w:rsid w:val="6991083D"/>
    <w:rsid w:val="6A0018D3"/>
    <w:rsid w:val="6A3A1E22"/>
    <w:rsid w:val="6ACA5340"/>
    <w:rsid w:val="6AFBE2FD"/>
    <w:rsid w:val="6B1336CA"/>
    <w:rsid w:val="6B601CFA"/>
    <w:rsid w:val="6B77B31C"/>
    <w:rsid w:val="6BF6F70B"/>
    <w:rsid w:val="6C4F3886"/>
    <w:rsid w:val="6D953FD0"/>
    <w:rsid w:val="6DBD50C2"/>
    <w:rsid w:val="6DEFBE8D"/>
    <w:rsid w:val="6DF6EE5D"/>
    <w:rsid w:val="6E6FFD58"/>
    <w:rsid w:val="6E972B5D"/>
    <w:rsid w:val="6FA92E43"/>
    <w:rsid w:val="6FCF3AFF"/>
    <w:rsid w:val="6FDFB749"/>
    <w:rsid w:val="6FDFFF4D"/>
    <w:rsid w:val="6FFA6EFF"/>
    <w:rsid w:val="6FFF02D3"/>
    <w:rsid w:val="6FFFD07D"/>
    <w:rsid w:val="701336AB"/>
    <w:rsid w:val="702B15B8"/>
    <w:rsid w:val="71BC4DF1"/>
    <w:rsid w:val="730F4AE2"/>
    <w:rsid w:val="73426669"/>
    <w:rsid w:val="736875DA"/>
    <w:rsid w:val="736E6677"/>
    <w:rsid w:val="738B4EA6"/>
    <w:rsid w:val="73F9F200"/>
    <w:rsid w:val="743B1A18"/>
    <w:rsid w:val="74AD223F"/>
    <w:rsid w:val="74DE7F3D"/>
    <w:rsid w:val="74F769B5"/>
    <w:rsid w:val="75FFF8EF"/>
    <w:rsid w:val="767F4FE6"/>
    <w:rsid w:val="76C21ABB"/>
    <w:rsid w:val="76C4DCB4"/>
    <w:rsid w:val="76E75AA9"/>
    <w:rsid w:val="777DDBFA"/>
    <w:rsid w:val="779E4CF7"/>
    <w:rsid w:val="77B76890"/>
    <w:rsid w:val="77FEA771"/>
    <w:rsid w:val="77FFCAF9"/>
    <w:rsid w:val="780523AE"/>
    <w:rsid w:val="78A41665"/>
    <w:rsid w:val="78D120BF"/>
    <w:rsid w:val="7A4C55E3"/>
    <w:rsid w:val="7A53410C"/>
    <w:rsid w:val="7A577472"/>
    <w:rsid w:val="7A9279F6"/>
    <w:rsid w:val="7ADD4C29"/>
    <w:rsid w:val="7AFE2822"/>
    <w:rsid w:val="7B7C2B32"/>
    <w:rsid w:val="7B9A1470"/>
    <w:rsid w:val="7BEE3D32"/>
    <w:rsid w:val="7CA76A30"/>
    <w:rsid w:val="7CBF2C38"/>
    <w:rsid w:val="7D5F4119"/>
    <w:rsid w:val="7D776F44"/>
    <w:rsid w:val="7D7BA38E"/>
    <w:rsid w:val="7D8459A1"/>
    <w:rsid w:val="7DCF8524"/>
    <w:rsid w:val="7DDF0D63"/>
    <w:rsid w:val="7E0FB349"/>
    <w:rsid w:val="7E53808C"/>
    <w:rsid w:val="7EA7853F"/>
    <w:rsid w:val="7ED246D9"/>
    <w:rsid w:val="7EDB1951"/>
    <w:rsid w:val="7EDFB9EF"/>
    <w:rsid w:val="7EE9F22B"/>
    <w:rsid w:val="7EFF68B1"/>
    <w:rsid w:val="7F294417"/>
    <w:rsid w:val="7F3D240F"/>
    <w:rsid w:val="7F614E20"/>
    <w:rsid w:val="7F6F5A1B"/>
    <w:rsid w:val="7F7E550E"/>
    <w:rsid w:val="7FB7439F"/>
    <w:rsid w:val="7FBF7C51"/>
    <w:rsid w:val="7FD6A27B"/>
    <w:rsid w:val="7FEDA862"/>
    <w:rsid w:val="7FF7817D"/>
    <w:rsid w:val="7FFD5D18"/>
    <w:rsid w:val="7FFD93AA"/>
    <w:rsid w:val="7FFE5E77"/>
    <w:rsid w:val="7FFE63C7"/>
    <w:rsid w:val="93BFFE25"/>
    <w:rsid w:val="93DE4D53"/>
    <w:rsid w:val="97EF0570"/>
    <w:rsid w:val="9EBE6894"/>
    <w:rsid w:val="A7FE46DD"/>
    <w:rsid w:val="AAF6E5D8"/>
    <w:rsid w:val="ADE1CE1F"/>
    <w:rsid w:val="B2FF2882"/>
    <w:rsid w:val="B67E1F6E"/>
    <w:rsid w:val="B6C51A8E"/>
    <w:rsid w:val="B71EE1DE"/>
    <w:rsid w:val="B77E0A94"/>
    <w:rsid w:val="BADF173F"/>
    <w:rsid w:val="BBEF4A7A"/>
    <w:rsid w:val="BC7F42EB"/>
    <w:rsid w:val="BD760178"/>
    <w:rsid w:val="BD9B4B70"/>
    <w:rsid w:val="BDFA148F"/>
    <w:rsid w:val="BDFDB831"/>
    <w:rsid w:val="BE1DD3DB"/>
    <w:rsid w:val="BFF3702B"/>
    <w:rsid w:val="BFF6C44B"/>
    <w:rsid w:val="BFFB8F7B"/>
    <w:rsid w:val="BFFBE771"/>
    <w:rsid w:val="BFFFFC04"/>
    <w:rsid w:val="C5EE1A03"/>
    <w:rsid w:val="C87D361C"/>
    <w:rsid w:val="D3376CDA"/>
    <w:rsid w:val="D57FEA81"/>
    <w:rsid w:val="D5BF14D1"/>
    <w:rsid w:val="D7F75EDB"/>
    <w:rsid w:val="D97C0045"/>
    <w:rsid w:val="DAED3199"/>
    <w:rsid w:val="DAFD0D04"/>
    <w:rsid w:val="DB595A3E"/>
    <w:rsid w:val="DBE5F7EA"/>
    <w:rsid w:val="DDED9019"/>
    <w:rsid w:val="DDEF3D90"/>
    <w:rsid w:val="DE3BDD69"/>
    <w:rsid w:val="DE8F9157"/>
    <w:rsid w:val="DEEDE229"/>
    <w:rsid w:val="DF9E2F38"/>
    <w:rsid w:val="DF9F197B"/>
    <w:rsid w:val="DFDBDF0B"/>
    <w:rsid w:val="DFEDBDD6"/>
    <w:rsid w:val="DFF9D15B"/>
    <w:rsid w:val="DFFBB3EC"/>
    <w:rsid w:val="E0EF55D7"/>
    <w:rsid w:val="E5CE60C7"/>
    <w:rsid w:val="E6BFB65F"/>
    <w:rsid w:val="EA9FADB6"/>
    <w:rsid w:val="EBABD82E"/>
    <w:rsid w:val="EBBA1790"/>
    <w:rsid w:val="EEBDDF93"/>
    <w:rsid w:val="EFBFE229"/>
    <w:rsid w:val="EFFBF492"/>
    <w:rsid w:val="EFFF7259"/>
    <w:rsid w:val="F175C4DB"/>
    <w:rsid w:val="F2F2EE95"/>
    <w:rsid w:val="F69D31A6"/>
    <w:rsid w:val="F77E3BE2"/>
    <w:rsid w:val="F7A95DB0"/>
    <w:rsid w:val="F7AF9FCD"/>
    <w:rsid w:val="F7B3205D"/>
    <w:rsid w:val="F7B72858"/>
    <w:rsid w:val="FB6D1C4C"/>
    <w:rsid w:val="FB9B8F52"/>
    <w:rsid w:val="FBEF2C16"/>
    <w:rsid w:val="FBEFD815"/>
    <w:rsid w:val="FCBFABA4"/>
    <w:rsid w:val="FCFE9610"/>
    <w:rsid w:val="FD8BC96D"/>
    <w:rsid w:val="FDAB0972"/>
    <w:rsid w:val="FDBE76F7"/>
    <w:rsid w:val="FDEB7BD9"/>
    <w:rsid w:val="FDFF482D"/>
    <w:rsid w:val="FE971EC6"/>
    <w:rsid w:val="FEBF7CC7"/>
    <w:rsid w:val="FEBFBB84"/>
    <w:rsid w:val="FEFAF6BD"/>
    <w:rsid w:val="FF53F2E3"/>
    <w:rsid w:val="FF6FB73B"/>
    <w:rsid w:val="FF775F4B"/>
    <w:rsid w:val="FF7E06D1"/>
    <w:rsid w:val="FF8F2C32"/>
    <w:rsid w:val="FFABAAB9"/>
    <w:rsid w:val="FFADE813"/>
    <w:rsid w:val="FFBBA604"/>
    <w:rsid w:val="FFBE428E"/>
    <w:rsid w:val="FFD89AE5"/>
    <w:rsid w:val="FFEF790A"/>
    <w:rsid w:val="FFF7D625"/>
    <w:rsid w:val="FFFBB72D"/>
    <w:rsid w:val="FFFF8961"/>
    <w:rsid w:val="FFFFB764"/>
    <w:rsid w:val="FFFFE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paragraph" w:styleId="4">
    <w:name w:val="heading 4"/>
    <w:basedOn w:val="1"/>
    <w:next w:val="1"/>
    <w:qFormat/>
    <w:uiPriority w:val="0"/>
    <w:pPr>
      <w:keepNext/>
      <w:keepLines/>
      <w:spacing w:line="500" w:lineRule="exact"/>
      <w:outlineLvl w:val="3"/>
    </w:pPr>
    <w:rPr>
      <w:rFonts w:ascii="Arial" w:hAnsi="Arial" w:cs="宋体"/>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kern w:val="0"/>
      <w:sz w:val="18"/>
      <w:szCs w:val="20"/>
    </w:rPr>
  </w:style>
  <w:style w:type="paragraph" w:styleId="5">
    <w:name w:val="Normal Indent"/>
    <w:basedOn w:val="1"/>
    <w:next w:val="4"/>
    <w:qFormat/>
    <w:uiPriority w:val="0"/>
    <w:pPr>
      <w:adjustRightInd w:val="0"/>
      <w:snapToGrid w:val="0"/>
      <w:spacing w:line="360" w:lineRule="auto"/>
    </w:pPr>
    <w:rPr>
      <w:sz w:val="24"/>
    </w:rPr>
  </w:style>
  <w:style w:type="paragraph" w:styleId="6">
    <w:name w:val="Body Text"/>
    <w:basedOn w:val="1"/>
    <w:next w:val="7"/>
    <w:qFormat/>
    <w:uiPriority w:val="0"/>
    <w:pPr>
      <w:spacing w:line="240" w:lineRule="atLeast"/>
    </w:pPr>
    <w:rPr>
      <w:sz w:val="28"/>
    </w:rPr>
  </w:style>
  <w:style w:type="paragraph" w:customStyle="1" w:styleId="7">
    <w:name w:val="默认段落"/>
    <w:qFormat/>
    <w:uiPriority w:val="0"/>
    <w:pPr>
      <w:widowControl w:val="0"/>
      <w:jc w:val="both"/>
    </w:pPr>
    <w:rPr>
      <w:rFonts w:ascii="Calibri" w:hAnsi="Calibri" w:eastAsia="宋体" w:cs="Times New Roman"/>
      <w:kern w:val="2"/>
      <w:sz w:val="21"/>
      <w:lang w:val="en-US" w:eastAsia="zh-CN" w:bidi="ar-SA"/>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pPr>
      <w:adjustRightInd w:val="0"/>
      <w:snapToGrid w:val="0"/>
      <w:spacing w:line="280" w:lineRule="exact"/>
      <w:jc w:val="center"/>
    </w:pPr>
    <w:rPr>
      <w:sz w:val="24"/>
      <w:szCs w:val="20"/>
    </w:rPr>
  </w:style>
  <w:style w:type="paragraph" w:styleId="11">
    <w:name w:val="Body Text First Indent"/>
    <w:basedOn w:val="6"/>
    <w:qFormat/>
    <w:uiPriority w:val="0"/>
    <w:pPr>
      <w:spacing w:after="120"/>
      <w:ind w:firstLine="420" w:firstLineChars="100"/>
    </w:pPr>
    <w:rPr>
      <w:sz w:val="21"/>
      <w:szCs w:val="24"/>
    </w:rPr>
  </w:style>
  <w:style w:type="character" w:styleId="14">
    <w:name w:val="FollowedHyperlink"/>
    <w:basedOn w:val="13"/>
    <w:semiHidden/>
    <w:unhideWhenUsed/>
    <w:qFormat/>
    <w:uiPriority w:val="99"/>
    <w:rPr>
      <w:color w:val="000000"/>
      <w:u w:val="none"/>
    </w:rPr>
  </w:style>
  <w:style w:type="character" w:styleId="15">
    <w:name w:val="Emphasis"/>
    <w:basedOn w:val="13"/>
    <w:qFormat/>
    <w:uiPriority w:val="20"/>
  </w:style>
  <w:style w:type="character" w:styleId="16">
    <w:name w:val="Hyperlink"/>
    <w:basedOn w:val="13"/>
    <w:semiHidden/>
    <w:unhideWhenUsed/>
    <w:qFormat/>
    <w:uiPriority w:val="99"/>
    <w:rPr>
      <w:color w:val="000000"/>
      <w:u w:val="none"/>
    </w:rPr>
  </w:style>
  <w:style w:type="paragraph" w:customStyle="1" w:styleId="17">
    <w:name w:val="Default"/>
    <w:basedOn w:val="18"/>
    <w:qFormat/>
    <w:uiPriority w:val="0"/>
    <w:pPr>
      <w:widowControl w:val="0"/>
      <w:autoSpaceDE w:val="0"/>
      <w:autoSpaceDN w:val="0"/>
      <w:adjustRightInd w:val="0"/>
    </w:pPr>
    <w:rPr>
      <w:color w:val="000000"/>
      <w:sz w:val="24"/>
      <w:szCs w:val="24"/>
      <w:lang w:val="en-US" w:eastAsia="zh-CN" w:bidi="ar-SA"/>
    </w:rPr>
  </w:style>
  <w:style w:type="paragraph" w:customStyle="1" w:styleId="18">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19">
    <w:name w:val="NormalCharacter"/>
    <w:qFormat/>
    <w:uiPriority w:val="0"/>
    <w:rPr>
      <w:rFonts w:ascii="Times New Roman" w:hAnsi="Times New Roman" w:eastAsia="宋体"/>
    </w:rPr>
  </w:style>
  <w:style w:type="character" w:customStyle="1" w:styleId="20">
    <w:name w:val="cur1"/>
    <w:basedOn w:val="13"/>
    <w:qFormat/>
    <w:uiPriority w:val="0"/>
    <w:rPr>
      <w:color w:val="FFFFFF"/>
      <w:shd w:val="clear" w:fill="2F6B98"/>
    </w:rPr>
  </w:style>
  <w:style w:type="character" w:customStyle="1" w:styleId="21">
    <w:name w:val="znspantitle"/>
    <w:basedOn w:val="13"/>
    <w:qFormat/>
    <w:uiPriority w:val="0"/>
    <w:rPr>
      <w:b/>
      <w:bCs/>
      <w:color w:val="333333"/>
    </w:rPr>
  </w:style>
  <w:style w:type="character" w:customStyle="1" w:styleId="22">
    <w:name w:val="lable"/>
    <w:basedOn w:val="13"/>
    <w:qFormat/>
    <w:uiPriority w:val="0"/>
    <w:rPr>
      <w:sz w:val="24"/>
      <w:szCs w:val="24"/>
    </w:rPr>
  </w:style>
  <w:style w:type="character" w:customStyle="1" w:styleId="23">
    <w:name w:val="lishishuju"/>
    <w:basedOn w:val="13"/>
    <w:qFormat/>
    <w:uiPriority w:val="0"/>
    <w:rPr>
      <w:b/>
      <w:bCs/>
      <w:color w:val="000052"/>
      <w:sz w:val="24"/>
      <w:szCs w:val="24"/>
      <w:bdr w:val="single" w:color="E3E3E3" w:sz="6" w:space="0"/>
    </w:rPr>
  </w:style>
  <w:style w:type="character" w:customStyle="1" w:styleId="24">
    <w:name w:val="radio-btn"/>
    <w:basedOn w:val="13"/>
    <w:qFormat/>
    <w:uiPriority w:val="0"/>
    <w:rPr>
      <w:sz w:val="24"/>
      <w:szCs w:val="24"/>
    </w:rPr>
  </w:style>
  <w:style w:type="character" w:customStyle="1" w:styleId="25">
    <w:name w:val="radio-btn1"/>
    <w:basedOn w:val="13"/>
    <w:qFormat/>
    <w:uiPriority w:val="0"/>
    <w:rPr>
      <w:sz w:val="24"/>
      <w:szCs w:val="24"/>
    </w:rPr>
  </w:style>
  <w:style w:type="character" w:customStyle="1" w:styleId="26">
    <w:name w:val="radio-btn2"/>
    <w:basedOn w:val="13"/>
    <w:qFormat/>
    <w:uiPriority w:val="0"/>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3184</Words>
  <Characters>3367</Characters>
  <Lines>24</Lines>
  <Paragraphs>6</Paragraphs>
  <TotalTime>1323</TotalTime>
  <ScaleCrop>false</ScaleCrop>
  <LinksUpToDate>false</LinksUpToDate>
  <CharactersWithSpaces>3417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2021-04-03T17:03:00Z</dcterms:created>
  <dc:creator>w's'd</dc:creator>
  <cp:lastModifiedBy>administrator</cp:lastModifiedBy>
  <cp:lastPrinted>2026-01-07T15:28:52Z</cp:lastPrinted>
  <dcterms:modified xsi:type="dcterms:W3CDTF">2026-01-07T15:29:04Z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631A1CED7E66DE7524805C69B0B4BA77_43</vt:lpwstr>
  </property>
</Properties>
</file>