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宋体"/>
          <w:color w:val="000000"/>
          <w:sz w:val="32"/>
          <w:szCs w:val="32"/>
        </w:rPr>
      </w:pPr>
      <w:r>
        <w:rPr>
          <w:rFonts w:hint="eastAsia" w:ascii="Times New Roman" w:hAnsi="Times New Roman" w:cs="宋体"/>
          <w:color w:val="000000"/>
          <w:sz w:val="32"/>
          <w:szCs w:val="32"/>
          <w:lang w:val="en-US" w:eastAsia="zh-CN"/>
        </w:rPr>
        <w:t xml:space="preserve"> </w:t>
      </w:r>
      <w:r>
        <w:rPr>
          <w:rFonts w:hint="eastAsia" w:ascii="Times New Roman" w:hAnsi="Times New Roman" w:cs="宋体"/>
          <w:color w:val="000000"/>
          <w:sz w:val="32"/>
          <w:szCs w:val="32"/>
        </w:rPr>
        <w:t xml:space="preserve"> </w:t>
      </w:r>
    </w:p>
    <w:p>
      <w:pPr>
        <w:wordWrap w:val="0"/>
        <w:spacing w:before="158" w:beforeLines="50" w:line="700" w:lineRule="exact"/>
        <w:jc w:val="right"/>
        <w:rPr>
          <w:rFonts w:ascii="Times New Roman" w:hAnsi="Times New Roman" w:cs="宋体"/>
          <w:color w:val="000000"/>
          <w:sz w:val="32"/>
          <w:szCs w:val="32"/>
        </w:rPr>
      </w:pPr>
      <w:r>
        <w:rPr>
          <w:rFonts w:hint="eastAsia" w:ascii="Times New Roman" w:hAnsi="Times New Roman" w:eastAsia="仿宋_GB2312" w:cs="仿宋_GB2312"/>
          <w:color w:val="000000"/>
          <w:sz w:val="32"/>
          <w:szCs w:val="32"/>
        </w:rPr>
        <w:t xml:space="preserve"> 秦审批环准许〔202</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-00</w:t>
      </w:r>
      <w:r>
        <w:rPr>
          <w:rFonts w:ascii="Times New Roman" w:hAnsi="Times New Roman" w:eastAsia="仿宋_GB2312" w:cs="仿宋_GB2312"/>
          <w:color w:val="000000"/>
          <w:sz w:val="32"/>
          <w:szCs w:val="32"/>
        </w:rPr>
        <w:t>4</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号</w:t>
      </w:r>
      <w:r>
        <w:rPr>
          <w:rFonts w:hint="eastAsia" w:ascii="Times New Roman" w:hAnsi="Times New Roman" w:cs="宋体"/>
          <w:color w:val="000000"/>
          <w:sz w:val="32"/>
          <w:szCs w:val="32"/>
        </w:rPr>
        <w:t xml:space="preserve"> </w:t>
      </w:r>
    </w:p>
    <w:p>
      <w:pPr>
        <w:spacing w:line="560" w:lineRule="exact"/>
        <w:jc w:val="center"/>
        <w:rPr>
          <w:rFonts w:hint="eastAsia" w:ascii="宋体" w:eastAsia="宋体" w:cs="宋体"/>
          <w:b/>
          <w:bCs/>
          <w:color w:val="000000"/>
          <w:kern w:val="0"/>
          <w:sz w:val="44"/>
          <w:szCs w:val="44"/>
          <w:shd w:val="clear" w:color="auto" w:fill="FFFFFF"/>
          <w:lang w:eastAsia="zh-CN"/>
        </w:rPr>
      </w:pPr>
      <w:r>
        <w:rPr>
          <w:rFonts w:hint="eastAsia" w:ascii="宋体" w:cs="宋体"/>
          <w:b/>
          <w:bCs/>
          <w:color w:val="000000"/>
          <w:kern w:val="0"/>
          <w:sz w:val="44"/>
          <w:szCs w:val="44"/>
          <w:shd w:val="clear" w:color="auto" w:fill="FFFFFF"/>
        </w:rPr>
        <w:t>关</w:t>
      </w:r>
      <w:r>
        <w:rPr>
          <w:rFonts w:hint="eastAsia" w:ascii="宋体" w:eastAsia="宋体" w:cs="宋体"/>
          <w:b/>
          <w:bCs/>
          <w:color w:val="000000"/>
          <w:kern w:val="0"/>
          <w:sz w:val="44"/>
          <w:szCs w:val="44"/>
          <w:shd w:val="clear" w:color="auto" w:fill="FFFFFF"/>
        </w:rPr>
        <w:t>于《</w:t>
      </w:r>
      <w:r>
        <w:rPr>
          <w:rFonts w:hint="eastAsia" w:ascii="宋体" w:eastAsia="宋体" w:cs="宋体"/>
          <w:b/>
          <w:bCs/>
          <w:color w:val="000000"/>
          <w:kern w:val="0"/>
          <w:sz w:val="44"/>
          <w:szCs w:val="44"/>
          <w:shd w:val="clear" w:color="auto" w:fill="FFFFFF"/>
          <w:lang w:eastAsia="zh-CN"/>
        </w:rPr>
        <w:t>青龙满族自治县德龙铸业开发有限公司</w:t>
      </w:r>
    </w:p>
    <w:p>
      <w:pPr>
        <w:spacing w:line="560" w:lineRule="exact"/>
        <w:jc w:val="center"/>
        <w:rPr>
          <w:rFonts w:ascii="宋体" w:cs="宋体"/>
          <w:b/>
          <w:bCs/>
          <w:color w:val="000000"/>
          <w:kern w:val="0"/>
          <w:sz w:val="44"/>
          <w:szCs w:val="44"/>
          <w:shd w:val="clear" w:color="auto" w:fill="FFFFFF"/>
        </w:rPr>
      </w:pPr>
      <w:r>
        <w:rPr>
          <w:rFonts w:hint="eastAsia" w:ascii="宋体" w:eastAsia="宋体" w:cs="宋体"/>
          <w:b/>
          <w:bCs/>
          <w:color w:val="000000"/>
          <w:kern w:val="0"/>
          <w:sz w:val="44"/>
          <w:szCs w:val="44"/>
          <w:shd w:val="clear" w:color="auto" w:fill="FFFFFF"/>
          <w:lang w:eastAsia="zh-CN"/>
        </w:rPr>
        <w:t>2×35MW超高温超高压煤气发电技术改造项目</w:t>
      </w:r>
      <w:r>
        <w:rPr>
          <w:rFonts w:hint="eastAsia" w:ascii="宋体" w:eastAsia="宋体" w:cs="宋体"/>
          <w:b/>
          <w:bCs/>
          <w:color w:val="000000"/>
          <w:kern w:val="0"/>
          <w:sz w:val="44"/>
          <w:szCs w:val="44"/>
          <w:shd w:val="clear" w:color="auto" w:fill="FFFFFF"/>
        </w:rPr>
        <w:t>环境影响报告</w:t>
      </w:r>
      <w:r>
        <w:rPr>
          <w:rFonts w:hint="eastAsia" w:ascii="宋体" w:eastAsia="宋体" w:cs="宋体"/>
          <w:b/>
          <w:bCs/>
          <w:color w:val="000000"/>
          <w:kern w:val="0"/>
          <w:sz w:val="44"/>
          <w:szCs w:val="44"/>
          <w:shd w:val="clear" w:color="auto" w:fill="FFFFFF"/>
          <w:lang w:eastAsia="zh-CN"/>
        </w:rPr>
        <w:t>表</w:t>
      </w:r>
      <w:r>
        <w:rPr>
          <w:rFonts w:hint="eastAsia" w:ascii="宋体" w:cs="宋体"/>
          <w:b/>
          <w:bCs/>
          <w:color w:val="000000"/>
          <w:kern w:val="0"/>
          <w:sz w:val="44"/>
          <w:szCs w:val="44"/>
          <w:shd w:val="clear" w:color="auto" w:fill="FFFFFF"/>
        </w:rPr>
        <w:t>》的批复</w:t>
      </w:r>
    </w:p>
    <w:p>
      <w:pPr>
        <w:spacing w:line="560" w:lineRule="exact"/>
        <w:jc w:val="center"/>
        <w:rPr>
          <w:rFonts w:ascii="Times New Roman" w:hAnsi="Times New Roman" w:eastAsia="仿宋_GB2312" w:cs="仿宋_GB2312"/>
          <w:color w:val="000000"/>
          <w:kern w:val="0"/>
          <w:sz w:val="32"/>
          <w:szCs w:val="32"/>
          <w:shd w:val="clear" w:color="auto" w:fill="FFFFFF"/>
        </w:rPr>
      </w:pPr>
      <w:r>
        <w:rPr>
          <w:rFonts w:hint="eastAsia" w:ascii="Times New Roman" w:hAnsi="Times New Roman" w:eastAsia="方正小标宋简体" w:cs="方正小标宋简体"/>
          <w:color w:val="000000"/>
          <w:sz w:val="44"/>
          <w:szCs w:val="44"/>
        </w:rPr>
        <mc:AlternateContent>
          <mc:Choice Requires="wps">
            <w:drawing>
              <wp:anchor distT="0" distB="0" distL="113665" distR="113665" simplePos="0" relativeHeight="251659264" behindDoc="0" locked="0" layoutInCell="0" hidden="1" allowOverlap="1">
                <wp:simplePos x="0" y="0"/>
                <wp:positionH relativeFrom="page">
                  <wp:posOffset>735965</wp:posOffset>
                </wp:positionH>
                <wp:positionV relativeFrom="page">
                  <wp:posOffset>9937115</wp:posOffset>
                </wp:positionV>
                <wp:extent cx="6083935" cy="635"/>
                <wp:effectExtent l="0" t="0" r="0" b="0"/>
                <wp:wrapTopAndBottom/>
                <wp:docPr id="7" name="直接连接符 3" hidden="1"/>
                <wp:cNvGraphicFramePr/>
                <a:graphic xmlns:a="http://schemas.openxmlformats.org/drawingml/2006/main">
                  <a:graphicData uri="http://schemas.microsoft.com/office/word/2010/wordprocessingShape">
                    <wps:wsp>
                      <wps:cNvCnPr/>
                      <wps:spPr>
                        <a:xfrm>
                          <a:off x="0" y="0"/>
                          <a:ext cx="6083935" cy="951"/>
                        </a:xfrm>
                        <a:prstGeom prst="line">
                          <a:avLst/>
                        </a:prstGeom>
                        <a:noFill/>
                        <a:ln w="69850" cap="flat" cmpd="thinThick">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margin-left:57.95pt;margin-top:782.45pt;height:0.05pt;width:479.05pt;mso-position-horizontal-relative:page;mso-position-vertical-relative:page;mso-wrap-distance-bottom:0pt;mso-wrap-distance-top:0pt;visibility:hidden;z-index:251659264;mso-width-relative:page;mso-height-relative:page;" filled="f" stroked="t" coordsize="21600,21600" o:allowincell="f" o:gfxdata="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YfmF52QAAAA4BAAAPAAAAAAAAAAEA&#10;IAAAADgAAABkcnMvZG93bnJldi54bWxQSwECFAAUAAAACACHTuJAxLMEvTECAAA6BAAADgAAAAAA&#10;AAABACAAAAA+AQAAZHJzL2Uyb0RvYy54bWxQSwUGAAAAAAYABgBZAQAA4QUAAAAA&#10;">
                <v:fill on="f" focussize="0,0"/>
                <v:stroke weight="5.5pt" color="#FF0000" linestyle="thinThick" joinstyle="round"/>
                <v:imagedata o:title=""/>
                <o:lock v:ext="edit" aspectratio="f"/>
                <w10:wrap type="topAndBottom"/>
              </v:line>
            </w:pict>
          </mc:Fallback>
        </mc:AlternateContent>
      </w:r>
      <w:r>
        <w:rPr>
          <w:rFonts w:hint="eastAsia" w:ascii="Times New Roman" w:hAnsi="Times New Roman" w:eastAsia="方正小标宋简体" w:cs="方正小标宋简体"/>
          <w:color w:val="000000"/>
          <w:sz w:val="44"/>
          <w:szCs w:val="44"/>
        </w:rPr>
        <mc:AlternateContent>
          <mc:Choice Requires="wps">
            <w:drawing>
              <wp:anchor distT="0" distB="0" distL="113665" distR="113665" simplePos="0" relativeHeight="251659264" behindDoc="0" locked="0" layoutInCell="0" hidden="1" allowOverlap="1">
                <wp:simplePos x="0" y="0"/>
                <wp:positionH relativeFrom="column">
                  <wp:posOffset>-274955</wp:posOffset>
                </wp:positionH>
                <wp:positionV relativeFrom="margin">
                  <wp:posOffset>445770</wp:posOffset>
                </wp:positionV>
                <wp:extent cx="6083935" cy="635"/>
                <wp:effectExtent l="0" t="0" r="0" b="0"/>
                <wp:wrapTopAndBottom/>
                <wp:docPr id="9" name="直接连接符 4" hidden="1"/>
                <wp:cNvGraphicFramePr/>
                <a:graphic xmlns:a="http://schemas.openxmlformats.org/drawingml/2006/main">
                  <a:graphicData uri="http://schemas.microsoft.com/office/word/2010/wordprocessingShape">
                    <wps:wsp>
                      <wps:cNvCnPr/>
                      <wps:spPr>
                        <a:xfrm>
                          <a:off x="0" y="0"/>
                          <a:ext cx="6083935" cy="952"/>
                        </a:xfrm>
                        <a:prstGeom prst="line">
                          <a:avLst/>
                        </a:prstGeom>
                        <a:noFill/>
                        <a:ln w="69850" cap="flat" cmpd="thickThin">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4" o:spid="_x0000_s1026" o:spt="20" style="position:absolute;left:0pt;margin-left:-21.65pt;margin-top:35.1pt;height:0.05pt;width:479.05pt;mso-position-vertical-relative:margin;mso-wrap-distance-bottom:0pt;mso-wrap-distance-top:0pt;visibility:hidden;z-index:251659264;mso-width-relative:page;mso-height-relative:page;" filled="f" stroked="t" coordsize="21600,21600" o:allowincell="f" o:gfxdata="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Bx+83PWAAAACQEAAA8AAAAAAAAAAQAgAAAA&#10;OAAAAGRycy9kb3ducmV2LnhtbFBLAQIUABQAAAAIAIdO4kDgvZ1xMAIAADoEAAAOAAAAAAAAAAEA&#10;IAAAADsBAABkcnMvZTJvRG9jLnhtbFBLBQYAAAAABgAGAFkBAADdBQAAAAA=&#10;">
                <v:fill on="f" focussize="0,0"/>
                <v:stroke weight="5.5pt" color="#FF0000" linestyle="thickThin" joinstyle="round"/>
                <v:imagedata o:title=""/>
                <o:lock v:ext="edit" aspectratio="f"/>
                <w10:wrap type="topAndBottom"/>
              </v:line>
            </w:pict>
          </mc:Fallback>
        </mc:AlternateConten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ascii="仿宋_GB2312" w:eastAsia="仿宋_GB2312" w:cs="仿宋_GB2312"/>
          <w:color w:val="000000"/>
          <w:spacing w:val="0"/>
          <w:kern w:val="0"/>
          <w:sz w:val="32"/>
          <w:szCs w:val="32"/>
          <w:shd w:val="clear" w:color="auto" w:fill="FFFFFF"/>
        </w:rPr>
      </w:pPr>
      <w:r>
        <w:rPr>
          <w:rFonts w:hint="eastAsia" w:ascii="Times New Roman" w:hAnsi="Times New Roman" w:eastAsia="仿宋"/>
          <w:sz w:val="32"/>
          <w:szCs w:val="32"/>
          <w:lang w:eastAsia="zh-CN"/>
        </w:rPr>
        <w:t>河北安丰钢铁集团德龙铸业有限公司</w:t>
      </w:r>
      <w:r>
        <w:rPr>
          <w:rFonts w:hint="eastAsia" w:ascii="仿宋_GB2312" w:eastAsia="仿宋_GB2312" w:cs="仿宋_GB2312"/>
          <w:color w:val="000000"/>
          <w:spacing w:val="0"/>
          <w:kern w:val="0"/>
          <w:sz w:val="32"/>
          <w:szCs w:val="32"/>
          <w:shd w:val="clear" w:color="auto" w:fill="FFFFFF"/>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Times New Roman" w:hAnsi="Times New Roman" w:eastAsia="仿宋"/>
          <w:sz w:val="32"/>
          <w:szCs w:val="32"/>
          <w:lang w:eastAsia="zh-CN"/>
        </w:rPr>
      </w:pPr>
      <w:r>
        <w:rPr>
          <w:rFonts w:hint="eastAsia" w:ascii="仿宋" w:hAnsi="仿宋" w:eastAsia="仿宋_GB2312"/>
          <w:color w:val="000000"/>
          <w:spacing w:val="0"/>
          <w:kern w:val="0"/>
          <w:sz w:val="32"/>
          <w:szCs w:val="32"/>
          <w:lang w:eastAsia="zh-CN"/>
        </w:rPr>
        <w:t>所报《青龙满族自治县德龙铸业开发有限公司2×35MW超高温超高压煤气发电技术改造项目环境影响报告表》(以下简称《报告表》)及相关申报材料收悉，根</w:t>
      </w:r>
      <w:r>
        <w:rPr>
          <w:rFonts w:hint="eastAsia" w:ascii="Times New Roman" w:hAnsi="Times New Roman" w:eastAsia="仿宋"/>
          <w:sz w:val="32"/>
          <w:szCs w:val="32"/>
          <w:lang w:eastAsia="zh-CN"/>
        </w:rPr>
        <w:t>据环评报告表结论、专家意见、河北超泰环保科技有限公司对青龙满族自治县德龙铸业开发有</w:t>
      </w:r>
      <w:r>
        <w:rPr>
          <w:rFonts w:hint="eastAsia" w:ascii="仿宋" w:hAnsi="仿宋" w:eastAsia="仿宋_GB2312"/>
          <w:color w:val="000000"/>
          <w:spacing w:val="0"/>
          <w:kern w:val="0"/>
          <w:sz w:val="32"/>
          <w:szCs w:val="32"/>
          <w:lang w:eastAsia="zh-CN"/>
        </w:rPr>
        <w:t>限公司2×35MW超</w:t>
      </w:r>
      <w:r>
        <w:rPr>
          <w:rFonts w:hint="eastAsia" w:ascii="Times New Roman" w:hAnsi="Times New Roman" w:eastAsia="仿宋"/>
          <w:sz w:val="32"/>
          <w:szCs w:val="32"/>
          <w:lang w:eastAsia="zh-CN"/>
        </w:rPr>
        <w:t>高温超高压煤气发电技术改造项目环境影响报告表技术评估意见，结合该项目环境影响特点及</w:t>
      </w:r>
      <w:r>
        <w:rPr>
          <w:rFonts w:hint="eastAsia" w:ascii="Times New Roman" w:hAnsi="Times New Roman" w:eastAsia="仿宋"/>
          <w:sz w:val="32"/>
          <w:szCs w:val="32"/>
          <w:lang w:val="en-US" w:eastAsia="zh-CN"/>
        </w:rPr>
        <w:t>公示反馈</w:t>
      </w:r>
      <w:r>
        <w:rPr>
          <w:rFonts w:hint="eastAsia" w:ascii="Times New Roman" w:hAnsi="Times New Roman" w:eastAsia="仿宋"/>
          <w:sz w:val="32"/>
          <w:szCs w:val="32"/>
          <w:lang w:eastAsia="zh-CN"/>
        </w:rPr>
        <w:t>等方面情况，经研究，现批复如下：</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t>一．项目建设内容和总体要求。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t>本项目为技改项目，位于</w:t>
      </w:r>
      <w:r>
        <w:rPr>
          <w:rFonts w:hint="eastAsia" w:ascii="Times New Roman" w:hAnsi="Times New Roman" w:eastAsia="仿宋"/>
          <w:sz w:val="32"/>
          <w:szCs w:val="32"/>
          <w:lang w:val="en-US" w:eastAsia="zh-CN"/>
        </w:rPr>
        <w:t>青龙满族自治县德龙铸业开发有限公司（</w:t>
      </w:r>
      <w:r>
        <w:rPr>
          <w:rFonts w:hint="eastAsia" w:ascii="Times New Roman" w:hAnsi="Times New Roman" w:eastAsia="仿宋"/>
          <w:sz w:val="32"/>
          <w:szCs w:val="32"/>
          <w:lang w:eastAsia="zh-CN"/>
        </w:rPr>
        <w:t>属于河北青龙经济开发区）</w:t>
      </w:r>
      <w:r>
        <w:rPr>
          <w:rFonts w:hint="eastAsia" w:ascii="Times New Roman" w:hAnsi="Times New Roman" w:eastAsia="仿宋"/>
          <w:sz w:val="32"/>
          <w:szCs w:val="32"/>
          <w:lang w:val="en-US" w:eastAsia="zh-CN"/>
        </w:rPr>
        <w:t>现有厂区西部，现状为空地，</w:t>
      </w:r>
      <w:bookmarkStart w:id="0" w:name="OLE_LINK197"/>
      <w:r>
        <w:rPr>
          <w:rFonts w:hint="eastAsia" w:ascii="Times New Roman" w:hAnsi="Times New Roman" w:eastAsia="仿宋"/>
          <w:sz w:val="32"/>
          <w:szCs w:val="32"/>
          <w:lang w:val="en-US" w:eastAsia="zh-CN"/>
        </w:rPr>
        <w:t>西临厂区污水处理站，东临炼钢区、配电室，南侧为空地，北侧为厂区内部道路</w:t>
      </w:r>
      <w:bookmarkEnd w:id="0"/>
      <w:r>
        <w:rPr>
          <w:rFonts w:hint="eastAsia" w:ascii="Times New Roman" w:hAnsi="Times New Roman" w:eastAsia="仿宋"/>
          <w:sz w:val="32"/>
          <w:szCs w:val="32"/>
          <w:lang w:eastAsia="zh-CN"/>
        </w:rPr>
        <w:t>。该项目选址</w:t>
      </w:r>
      <w:r>
        <w:rPr>
          <w:rFonts w:hint="eastAsia" w:ascii="Times New Roman" w:hAnsi="Times New Roman" w:eastAsia="仿宋"/>
          <w:sz w:val="32"/>
          <w:szCs w:val="32"/>
          <w:lang w:val="en-US" w:eastAsia="zh-CN"/>
        </w:rPr>
        <w:t>便于依托现有设施，符合开发区规划定位、布局。不在自然保护区、风景名胜区、基本农田等保护区内，项目附近无水源保护区和需要保护的文物，所在区域不属于生态红线区域，该项目距离敏感保护目标较远，项目建成后污染物排放量减小，对敏感目标影响小，选址合理</w:t>
      </w:r>
      <w:r>
        <w:rPr>
          <w:rFonts w:hint="eastAsia" w:ascii="Times New Roman" w:hAnsi="Times New Roman" w:eastAsia="仿宋"/>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t>主要建设内容及规模：</w:t>
      </w:r>
      <w:r>
        <w:rPr>
          <w:rFonts w:hint="eastAsia" w:ascii="Times New Roman" w:hAnsi="Times New Roman" w:eastAsia="仿宋"/>
          <w:sz w:val="32"/>
          <w:szCs w:val="32"/>
          <w:lang w:val="en-US" w:eastAsia="zh-CN"/>
        </w:rPr>
        <w:t>拟利用厂区富裕煤气进行发电，总建筑面</w:t>
      </w:r>
      <w:r>
        <w:rPr>
          <w:rFonts w:hint="eastAsia" w:ascii="仿宋" w:hAnsi="仿宋" w:eastAsia="仿宋_GB2312"/>
          <w:color w:val="000000"/>
          <w:spacing w:val="0"/>
          <w:kern w:val="0"/>
          <w:sz w:val="32"/>
          <w:szCs w:val="32"/>
          <w:lang w:val="en-US" w:eastAsia="zh-CN"/>
        </w:rPr>
        <w:t>积9734m</w:t>
      </w:r>
      <w:r>
        <w:rPr>
          <w:rFonts w:hint="eastAsia" w:ascii="仿宋" w:hAnsi="仿宋" w:eastAsia="仿宋_GB2312"/>
          <w:color w:val="000000"/>
          <w:spacing w:val="0"/>
          <w:kern w:val="0"/>
          <w:sz w:val="32"/>
          <w:szCs w:val="32"/>
          <w:vertAlign w:val="superscript"/>
          <w:lang w:val="en-US" w:eastAsia="zh-CN"/>
        </w:rPr>
        <w:t>2</w:t>
      </w:r>
      <w:r>
        <w:rPr>
          <w:rFonts w:hint="eastAsia" w:ascii="仿宋" w:hAnsi="仿宋" w:eastAsia="仿宋_GB2312"/>
          <w:color w:val="000000"/>
          <w:spacing w:val="0"/>
          <w:kern w:val="0"/>
          <w:sz w:val="32"/>
          <w:szCs w:val="32"/>
          <w:lang w:val="en-US" w:eastAsia="zh-CN"/>
        </w:rPr>
        <w:t>，包括：2台120t/h燃气锅炉；一座汽轮机发电主厂房，建筑面积7781.90 m</w:t>
      </w:r>
      <w:r>
        <w:rPr>
          <w:rFonts w:hint="eastAsia" w:ascii="仿宋" w:hAnsi="仿宋" w:eastAsia="仿宋_GB2312"/>
          <w:color w:val="000000"/>
          <w:spacing w:val="0"/>
          <w:kern w:val="0"/>
          <w:sz w:val="32"/>
          <w:szCs w:val="32"/>
          <w:vertAlign w:val="superscript"/>
          <w:lang w:val="en-US" w:eastAsia="zh-CN"/>
        </w:rPr>
        <w:t>2</w:t>
      </w:r>
      <w:r>
        <w:rPr>
          <w:rFonts w:hint="eastAsia" w:ascii="仿宋" w:hAnsi="仿宋" w:eastAsia="仿宋_GB2312"/>
          <w:color w:val="000000"/>
          <w:spacing w:val="0"/>
          <w:kern w:val="0"/>
          <w:sz w:val="32"/>
          <w:szCs w:val="32"/>
          <w:lang w:val="en-US" w:eastAsia="zh-CN"/>
        </w:rPr>
        <w:t>，内含2套35MW超高温超高压中间一次再热汽轮发电机组；一座循环水泵及化水间厂房，建筑面积1952.10 m</w:t>
      </w:r>
      <w:r>
        <w:rPr>
          <w:rFonts w:hint="eastAsia" w:ascii="仿宋" w:hAnsi="仿宋" w:eastAsia="仿宋_GB2312"/>
          <w:color w:val="000000"/>
          <w:spacing w:val="0"/>
          <w:kern w:val="0"/>
          <w:sz w:val="32"/>
          <w:szCs w:val="32"/>
          <w:vertAlign w:val="superscript"/>
          <w:lang w:val="en-US" w:eastAsia="zh-CN"/>
        </w:rPr>
        <w:t>2</w:t>
      </w:r>
      <w:r>
        <w:rPr>
          <w:rFonts w:hint="eastAsia" w:ascii="仿宋" w:hAnsi="仿宋" w:eastAsia="仿宋_GB2312"/>
          <w:color w:val="000000"/>
          <w:spacing w:val="0"/>
          <w:kern w:val="0"/>
          <w:sz w:val="32"/>
          <w:szCs w:val="32"/>
          <w:lang w:val="en-US" w:eastAsia="zh-CN"/>
        </w:rPr>
        <w:t>，内含2×40t二级反渗透化水系统，循环水系统及消防装置等；一座2500 m</w:t>
      </w:r>
      <w:r>
        <w:rPr>
          <w:rFonts w:hint="eastAsia" w:ascii="仿宋" w:hAnsi="仿宋" w:eastAsia="仿宋_GB2312"/>
          <w:color w:val="000000"/>
          <w:spacing w:val="0"/>
          <w:kern w:val="0"/>
          <w:sz w:val="32"/>
          <w:szCs w:val="32"/>
          <w:vertAlign w:val="superscript"/>
          <w:lang w:val="en-US" w:eastAsia="zh-CN"/>
        </w:rPr>
        <w:t>2</w:t>
      </w:r>
      <w:r>
        <w:rPr>
          <w:rFonts w:hint="eastAsia" w:ascii="仿宋" w:hAnsi="仿宋" w:eastAsia="仿宋_GB2312"/>
          <w:color w:val="000000"/>
          <w:spacing w:val="0"/>
          <w:kern w:val="0"/>
          <w:sz w:val="32"/>
          <w:szCs w:val="32"/>
          <w:lang w:val="en-US" w:eastAsia="zh-CN"/>
        </w:rPr>
        <w:t>双曲线冷却塔以及配套的供配电、仪表、暖通空调、消防水管道系统、烟风管道系统等。预计年发电量4.9978×10</w:t>
      </w:r>
      <w:r>
        <w:rPr>
          <w:rFonts w:hint="eastAsia" w:ascii="仿宋" w:hAnsi="仿宋" w:eastAsia="仿宋_GB2312"/>
          <w:color w:val="000000"/>
          <w:spacing w:val="0"/>
          <w:kern w:val="0"/>
          <w:sz w:val="32"/>
          <w:szCs w:val="32"/>
          <w:vertAlign w:val="superscript"/>
          <w:lang w:val="en-US" w:eastAsia="zh-CN"/>
        </w:rPr>
        <w:t>8</w:t>
      </w:r>
      <w:r>
        <w:rPr>
          <w:rFonts w:hint="eastAsia" w:ascii="仿宋" w:hAnsi="仿宋" w:eastAsia="仿宋_GB2312"/>
          <w:color w:val="000000"/>
          <w:spacing w:val="0"/>
          <w:kern w:val="0"/>
          <w:sz w:val="32"/>
          <w:szCs w:val="32"/>
          <w:lang w:val="en-US" w:eastAsia="zh-CN"/>
        </w:rPr>
        <w:t xml:space="preserve"> kWh，自发自用，余电上网</w:t>
      </w:r>
      <w:r>
        <w:rPr>
          <w:rFonts w:hint="eastAsia" w:ascii="仿宋" w:hAnsi="仿宋" w:eastAsia="仿宋_GB2312"/>
          <w:color w:val="000000"/>
          <w:spacing w:val="0"/>
          <w:kern w:val="0"/>
          <w:sz w:val="32"/>
          <w:szCs w:val="32"/>
          <w:lang w:eastAsia="zh-CN"/>
        </w:rPr>
        <w:t>。项目总投资</w:t>
      </w:r>
      <w:r>
        <w:rPr>
          <w:rFonts w:hint="eastAsia" w:ascii="仿宋" w:hAnsi="仿宋" w:eastAsia="仿宋_GB2312"/>
          <w:color w:val="000000"/>
          <w:spacing w:val="0"/>
          <w:kern w:val="0"/>
          <w:sz w:val="32"/>
          <w:szCs w:val="32"/>
          <w:lang w:val="en-US" w:eastAsia="zh-CN"/>
        </w:rPr>
        <w:t>38067</w:t>
      </w:r>
      <w:r>
        <w:rPr>
          <w:rFonts w:hint="eastAsia" w:ascii="仿宋" w:hAnsi="仿宋" w:eastAsia="仿宋_GB2312"/>
          <w:color w:val="000000"/>
          <w:spacing w:val="0"/>
          <w:kern w:val="0"/>
          <w:sz w:val="32"/>
          <w:szCs w:val="32"/>
          <w:lang w:eastAsia="zh-CN"/>
        </w:rPr>
        <w:t>万元，其中环保投资</w:t>
      </w:r>
      <w:r>
        <w:rPr>
          <w:rFonts w:hint="eastAsia" w:ascii="仿宋" w:hAnsi="仿宋" w:eastAsia="仿宋_GB2312"/>
          <w:color w:val="000000"/>
          <w:spacing w:val="0"/>
          <w:kern w:val="0"/>
          <w:sz w:val="32"/>
          <w:szCs w:val="32"/>
          <w:lang w:val="en-US" w:eastAsia="zh-CN"/>
        </w:rPr>
        <w:t>350</w:t>
      </w:r>
      <w:r>
        <w:rPr>
          <w:rFonts w:hint="eastAsia" w:ascii="仿宋" w:hAnsi="仿宋" w:eastAsia="仿宋_GB2312"/>
          <w:color w:val="000000"/>
          <w:spacing w:val="0"/>
          <w:kern w:val="0"/>
          <w:sz w:val="32"/>
          <w:szCs w:val="32"/>
          <w:lang w:eastAsia="zh-CN"/>
        </w:rPr>
        <w:t>万元，环保投资占总投资的</w:t>
      </w:r>
      <w:r>
        <w:rPr>
          <w:rFonts w:hint="eastAsia" w:ascii="仿宋" w:hAnsi="仿宋" w:eastAsia="仿宋_GB2312"/>
          <w:color w:val="000000"/>
          <w:spacing w:val="0"/>
          <w:kern w:val="0"/>
          <w:sz w:val="32"/>
          <w:szCs w:val="32"/>
          <w:lang w:val="en-US" w:eastAsia="zh-CN"/>
        </w:rPr>
        <w:t>0.92</w:t>
      </w:r>
      <w:r>
        <w:rPr>
          <w:rFonts w:hint="eastAsia" w:ascii="仿宋" w:hAnsi="仿宋" w:eastAsia="仿宋_GB2312"/>
          <w:color w:val="000000"/>
          <w:spacing w:val="0"/>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该项目位于秦皇岛市青龙满族自治县的河北青龙经济开发区，不在秦皇岛市生态红线范围内，距离最近生态红线为项目西北2150m的燕山水源涵养-生物多样性维护生态保护红线。项目运营期无废水排放，项目技改后企业废气污染物排放量减小，对区域环境空气质量有改善作用。项目用水、用电均依托现有厂区设施，项目不新增用地，满足资源利用上限要求。本项目利用富余煤气发电，实现了煤气的资源化价值利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该项目利用</w:t>
      </w:r>
      <w:r>
        <w:rPr>
          <w:rFonts w:hint="eastAsia" w:ascii="仿宋" w:hAnsi="仿宋" w:eastAsia="仿宋_GB2312"/>
          <w:color w:val="000000"/>
          <w:spacing w:val="0"/>
          <w:kern w:val="0"/>
          <w:sz w:val="32"/>
          <w:szCs w:val="32"/>
          <w:lang w:val="en-US" w:eastAsia="en-US"/>
        </w:rPr>
        <w:t>炼铁工序副产品高炉煤气与炼钢转炉煤气</w:t>
      </w:r>
      <w:r>
        <w:rPr>
          <w:rFonts w:hint="eastAsia" w:ascii="仿宋" w:hAnsi="仿宋" w:eastAsia="仿宋_GB2312"/>
          <w:color w:val="000000"/>
          <w:spacing w:val="0"/>
          <w:kern w:val="0"/>
          <w:sz w:val="32"/>
          <w:szCs w:val="32"/>
          <w:lang w:val="en-US" w:eastAsia="zh-CN"/>
        </w:rPr>
        <w:t>火力发电，属于《产业结构调整指导目录（</w:t>
      </w:r>
      <w:r>
        <w:rPr>
          <w:rFonts w:hint="default" w:ascii="仿宋" w:hAnsi="仿宋" w:eastAsia="仿宋_GB2312"/>
          <w:color w:val="000000"/>
          <w:spacing w:val="0"/>
          <w:kern w:val="0"/>
          <w:sz w:val="32"/>
          <w:szCs w:val="32"/>
          <w:lang w:val="en-US" w:eastAsia="zh-CN"/>
        </w:rPr>
        <w:t>2024</w:t>
      </w:r>
      <w:r>
        <w:rPr>
          <w:rFonts w:hint="eastAsia" w:ascii="仿宋" w:hAnsi="仿宋" w:eastAsia="仿宋_GB2312"/>
          <w:color w:val="000000"/>
          <w:spacing w:val="0"/>
          <w:kern w:val="0"/>
          <w:sz w:val="32"/>
          <w:szCs w:val="32"/>
          <w:lang w:val="en-US" w:eastAsia="zh-CN"/>
        </w:rPr>
        <w:t>年本）》中鼓励类项目；</w:t>
      </w:r>
      <w:r>
        <w:rPr>
          <w:rFonts w:hint="default" w:ascii="仿宋" w:hAnsi="仿宋" w:eastAsia="仿宋_GB2312"/>
          <w:color w:val="000000"/>
          <w:spacing w:val="0"/>
          <w:kern w:val="0"/>
          <w:sz w:val="32"/>
          <w:szCs w:val="32"/>
          <w:lang w:val="en-US" w:eastAsia="zh-CN"/>
        </w:rPr>
        <w:t>不在《市场准入负面清单（202</w:t>
      </w:r>
      <w:r>
        <w:rPr>
          <w:rFonts w:hint="eastAsia" w:ascii="仿宋" w:hAnsi="仿宋" w:eastAsia="仿宋_GB2312"/>
          <w:color w:val="000000"/>
          <w:spacing w:val="0"/>
          <w:kern w:val="0"/>
          <w:sz w:val="32"/>
          <w:szCs w:val="32"/>
          <w:lang w:val="en-US" w:eastAsia="zh-CN"/>
        </w:rPr>
        <w:t>5</w:t>
      </w:r>
      <w:r>
        <w:rPr>
          <w:rFonts w:hint="default" w:ascii="仿宋" w:hAnsi="仿宋" w:eastAsia="仿宋_GB2312"/>
          <w:color w:val="000000"/>
          <w:spacing w:val="0"/>
          <w:kern w:val="0"/>
          <w:sz w:val="32"/>
          <w:szCs w:val="32"/>
          <w:lang w:val="en-US" w:eastAsia="zh-CN"/>
        </w:rPr>
        <w:t>年版）》</w:t>
      </w:r>
      <w:r>
        <w:rPr>
          <w:rFonts w:hint="eastAsia" w:ascii="仿宋" w:hAnsi="仿宋" w:eastAsia="仿宋_GB2312"/>
          <w:color w:val="000000"/>
          <w:spacing w:val="0"/>
          <w:kern w:val="0"/>
          <w:sz w:val="32"/>
          <w:szCs w:val="32"/>
          <w:lang w:val="en-US" w:eastAsia="zh-CN"/>
        </w:rPr>
        <w:t>之</w:t>
      </w:r>
      <w:r>
        <w:rPr>
          <w:rFonts w:hint="default" w:ascii="仿宋" w:hAnsi="仿宋" w:eastAsia="仿宋_GB2312"/>
          <w:color w:val="000000"/>
          <w:spacing w:val="0"/>
          <w:kern w:val="0"/>
          <w:sz w:val="32"/>
          <w:szCs w:val="32"/>
          <w:lang w:val="en-US" w:eastAsia="zh-CN"/>
        </w:rPr>
        <w:t>列</w:t>
      </w:r>
      <w:r>
        <w:rPr>
          <w:rFonts w:hint="eastAsia" w:ascii="仿宋" w:hAnsi="仿宋" w:eastAsia="仿宋_GB2312"/>
          <w:color w:val="000000"/>
          <w:spacing w:val="0"/>
          <w:kern w:val="0"/>
          <w:sz w:val="32"/>
          <w:szCs w:val="32"/>
          <w:lang w:val="en-US" w:eastAsia="zh-CN"/>
        </w:rPr>
        <w:t>；符合《秦皇岛市人民政府办公室关于实施生态环境分区管控动态更新成果的通知》（2024年6月7日）中总体准入和总体管控要求；不属于《环境保护综合名录（2021版）》中的高污染、高风险产品加工项目；不属于河北省发展和改革委员会关于加强新建”两高"项目管理的通知（冀发改环资〔2022〕691号）中“两高”项目；符合“</w:t>
      </w:r>
      <w:bookmarkStart w:id="1" w:name="OLE_LINK187"/>
      <w:r>
        <w:rPr>
          <w:rFonts w:hint="eastAsia" w:ascii="仿宋" w:hAnsi="仿宋" w:eastAsia="仿宋_GB2312"/>
          <w:color w:val="000000"/>
          <w:spacing w:val="0"/>
          <w:kern w:val="0"/>
          <w:sz w:val="32"/>
          <w:szCs w:val="32"/>
          <w:lang w:val="en-US" w:eastAsia="zh-CN"/>
        </w:rPr>
        <w:t>国家发展改革委等部门关于印发《钢铁行业节能降碳专项行动计划》的通知（发改环资〔2024〕730号）</w:t>
      </w:r>
      <w:bookmarkEnd w:id="1"/>
      <w:r>
        <w:rPr>
          <w:rFonts w:hint="eastAsia" w:ascii="仿宋" w:hAnsi="仿宋" w:eastAsia="仿宋_GB2312"/>
          <w:color w:val="000000"/>
          <w:spacing w:val="0"/>
          <w:kern w:val="0"/>
          <w:sz w:val="32"/>
          <w:szCs w:val="32"/>
          <w:lang w:val="en-US" w:eastAsia="zh-CN"/>
        </w:rPr>
        <w:t>”、“河北省人民政府办公厅关于转发省工业和信息化厅省发展改革委省生态环境厅《河北省加快推进钢铁产业高质量发展若干措施》的通知（</w:t>
      </w:r>
      <w:r>
        <w:rPr>
          <w:rFonts w:hint="default" w:ascii="仿宋" w:hAnsi="仿宋" w:eastAsia="仿宋_GB2312"/>
          <w:color w:val="000000"/>
          <w:spacing w:val="0"/>
          <w:kern w:val="0"/>
          <w:sz w:val="32"/>
          <w:szCs w:val="32"/>
          <w:lang w:val="en-US" w:eastAsia="zh-CN"/>
        </w:rPr>
        <w:t>冀政办字〔2022〕28号</w:t>
      </w:r>
      <w:r>
        <w:rPr>
          <w:rFonts w:hint="eastAsia" w:ascii="仿宋" w:hAnsi="仿宋" w:eastAsia="仿宋_GB2312"/>
          <w:color w:val="000000"/>
          <w:spacing w:val="0"/>
          <w:kern w:val="0"/>
          <w:sz w:val="32"/>
          <w:szCs w:val="32"/>
          <w:lang w:val="en-US" w:eastAsia="zh-CN"/>
        </w:rPr>
        <w:t>）”中相关要求。符合《河北青龙经济开发区总体发展规划（2023-2035年）环境影响报告书》</w:t>
      </w:r>
      <w:r>
        <w:rPr>
          <w:rFonts w:hint="default" w:ascii="仿宋" w:hAnsi="仿宋" w:eastAsia="仿宋_GB2312"/>
          <w:color w:val="000000"/>
          <w:spacing w:val="0"/>
          <w:kern w:val="0"/>
          <w:sz w:val="32"/>
          <w:szCs w:val="32"/>
          <w:lang w:val="en-US" w:eastAsia="zh-CN"/>
        </w:rPr>
        <w:t>及审查意见</w:t>
      </w:r>
      <w:r>
        <w:rPr>
          <w:rFonts w:hint="eastAsia" w:ascii="仿宋" w:hAnsi="仿宋" w:eastAsia="仿宋_GB2312"/>
          <w:color w:val="000000"/>
          <w:spacing w:val="0"/>
          <w:kern w:val="0"/>
          <w:sz w:val="32"/>
          <w:szCs w:val="32"/>
          <w:lang w:val="en-US" w:eastAsia="zh-CN"/>
        </w:rPr>
        <w:t>的相关要求。符合国家及地方产业政策，符合规划环评、“三线一单”空间管控要求。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eastAsia="zh-CN"/>
        </w:rPr>
      </w:pPr>
      <w:r>
        <w:rPr>
          <w:rFonts w:hint="eastAsia" w:ascii="仿宋" w:hAnsi="仿宋" w:eastAsia="仿宋_GB2312"/>
          <w:color w:val="000000"/>
          <w:spacing w:val="0"/>
          <w:kern w:val="0"/>
          <w:sz w:val="32"/>
          <w:szCs w:val="32"/>
          <w:lang w:val="en-US" w:eastAsia="zh-CN"/>
        </w:rPr>
        <w:t>本项目符合《秦皇岛市生态环境保护“十四五”规划》、《河北省土壤与地下水污染防治“十四五”规划》、《河北省固体废物污染环境防治条例》、《河北省生态环境厅办公室关于进一步做好沙区建设项目环境影响评价工作的通知》（冀环办字涵〔2023〕326号）、《秦皇岛市深入打好污染防治攻坚战实施方案》等相关政策及规划的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该《报告表》已通过专家评审。现结合专家意见、评估意见以及公示意见反馈情况，根据《报告表》结论，在项目符合国家和地方相关法律法规、规章、标准、生态环境监督管理要求等规定的各项环境保护要求的前提下，从环境保护角度考虑，我局原则同意《报告表》中所列建设项目的地点、性质、规模、工艺和拟采取的环境保护措施。</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eastAsia="zh-CN"/>
        </w:rPr>
      </w:pPr>
      <w:r>
        <w:rPr>
          <w:rFonts w:hint="eastAsia" w:ascii="仿宋" w:hAnsi="仿宋" w:eastAsia="仿宋_GB2312"/>
          <w:color w:val="000000"/>
          <w:spacing w:val="0"/>
          <w:kern w:val="0"/>
          <w:sz w:val="32"/>
          <w:szCs w:val="32"/>
          <w:lang w:eastAsia="zh-CN"/>
        </w:rPr>
        <w:t>二．该项目须加强生产全过程管理，强化综合利用，降低能耗物耗，减少各种污染物的产生量和排放量。同时，你公司在项目建设和运行过程中要认真落实《报告表》提出的各项污染防治措施，确保各治污设施正常运行，各种污染物达标排放，各项环保设施设计应当由具有环保设施工程设计资质的单位承担，按照要求认真落实各项污染防治措施，加强环保设施运营管理，确保满足相关要求，并重点做好以下工作：</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eastAsia="zh-CN"/>
        </w:rPr>
      </w:pPr>
      <w:r>
        <w:rPr>
          <w:rFonts w:hint="eastAsia" w:ascii="仿宋" w:hAnsi="仿宋" w:eastAsia="仿宋_GB2312"/>
          <w:color w:val="000000"/>
          <w:spacing w:val="0"/>
          <w:kern w:val="0"/>
          <w:sz w:val="32"/>
          <w:szCs w:val="32"/>
          <w:lang w:eastAsia="zh-CN"/>
        </w:rPr>
        <w:t>（一）加强施工期环境管理，减少施工对环境的影响。</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eastAsia="zh-CN"/>
        </w:rPr>
      </w:pPr>
      <w:r>
        <w:rPr>
          <w:rFonts w:hint="eastAsia" w:ascii="仿宋" w:hAnsi="仿宋" w:eastAsia="仿宋_GB2312"/>
          <w:color w:val="000000"/>
          <w:spacing w:val="0"/>
          <w:kern w:val="0"/>
          <w:sz w:val="32"/>
          <w:szCs w:val="32"/>
          <w:lang w:eastAsia="zh-CN"/>
        </w:rPr>
        <w:t>1、施工主要环境影响是建筑施工、建筑材料运输和堆放等过程中产生的扬尘、噪声、废水、固体废物等。</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（1）建设及施工单位要严格执行《河北省扬尘污染防治办法》（河北省人民政府令[2020]第1号）、《2025年房屋建筑和市政工程施工扬尘污染防治工作要点》等文件要求采取切实有效控制措施。</w:t>
      </w:r>
      <w:r>
        <w:rPr>
          <w:rFonts w:hint="default" w:ascii="仿宋" w:hAnsi="仿宋" w:eastAsia="仿宋_GB2312"/>
          <w:color w:val="000000"/>
          <w:spacing w:val="0"/>
          <w:kern w:val="0"/>
          <w:sz w:val="32"/>
          <w:szCs w:val="32"/>
          <w:lang w:val="en-US" w:eastAsia="zh-CN"/>
        </w:rPr>
        <w:t>焊接烟尘设置移动焊烟净化器</w:t>
      </w:r>
      <w:r>
        <w:rPr>
          <w:rFonts w:hint="eastAsia" w:ascii="仿宋" w:hAnsi="仿宋" w:eastAsia="仿宋_GB2312"/>
          <w:color w:val="000000"/>
          <w:spacing w:val="0"/>
          <w:kern w:val="0"/>
          <w:sz w:val="32"/>
          <w:szCs w:val="32"/>
          <w:lang w:val="en-US" w:eastAsia="zh-CN"/>
        </w:rPr>
        <w:t>；合理规划运输路线，限制车速，合理分流车辆，防止车辆过度集中。施工机械所用的燃料符合国家相应的标准，重型燃油车均取得定期检验合格标志，符合《河北省机动车和非道路移动机械排放污染防治条例》；挖掘机、自卸车等机械尾气排烟度限值满足《非道路柴油移动机械排气烟度限值及测量方法》（GB36886-2018）Ⅲ类限值。施工期扬尘排放执行河北省地标《施工场地扬尘排放标准》（DB13/2934-2019）相关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default"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（2） 施工废水主要产生于施工材料运输车辆的冲洗，车辆冲洗依托企业现有洗车平台，废水经沉淀后全部回用，无废水排放。混凝土拌合和养护时消耗的水全部蒸发损耗掉，无废水排出。施工工人使用企业现有厕所及食堂，施工时产生的生活污水与企业其他生活废水一起经化粪池处理后进入厂区综合污水处理站处理，处理后全部回用于高炉冲渣系统补充水，无废水排放。</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3）施工噪声主要为各类施工设备挖掘机、推土机、切割机等作业产生的噪声。施工噪声防治措施：①文明施工，所有模板、脚手架的支设、拆除、搬运必须轻拿轻放，要上下左右传递，严禁抛、扔；②建设期间合理布置施工现场，高噪设备布置在距场界较远的地方；③施工前15日向所在地县以上主管部门申报项目施工情况；④夜间禁止施工作业；⑤使用低噪声设备，高噪声设备作业避开中午12：00-14：00时段；⑥施工场界周边设置硬质围挡；⑦施工期锅炉管线吹扫使用的吹管管道末端加装吹管消音器。昼间施工边界噪声须达到《建筑施工场界环境噪声排放标准》(GB12523-2011)中昼间70dB(A)、夜间 55dB(A)限值要求。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（4）固体废物采取措施：①</w:t>
      </w:r>
      <w:r>
        <w:rPr>
          <w:rFonts w:hint="default" w:ascii="仿宋" w:hAnsi="仿宋" w:eastAsia="仿宋_GB2312"/>
          <w:color w:val="000000"/>
          <w:spacing w:val="0"/>
          <w:kern w:val="0"/>
          <w:sz w:val="32"/>
          <w:szCs w:val="32"/>
          <w:lang w:val="en-US" w:eastAsia="zh-CN"/>
        </w:rPr>
        <w:t>生活垃圾收集后环卫部门处理</w:t>
      </w:r>
      <w:r>
        <w:rPr>
          <w:rFonts w:hint="eastAsia" w:ascii="仿宋" w:hAnsi="仿宋" w:eastAsia="仿宋_GB2312"/>
          <w:color w:val="000000"/>
          <w:spacing w:val="0"/>
          <w:kern w:val="0"/>
          <w:sz w:val="32"/>
          <w:szCs w:val="32"/>
          <w:lang w:val="en-US" w:eastAsia="zh-CN"/>
        </w:rPr>
        <w:t>；②</w:t>
      </w:r>
      <w:r>
        <w:rPr>
          <w:rFonts w:hint="default" w:ascii="仿宋" w:hAnsi="仿宋" w:eastAsia="仿宋_GB2312"/>
          <w:color w:val="000000"/>
          <w:spacing w:val="0"/>
          <w:kern w:val="0"/>
          <w:sz w:val="32"/>
          <w:szCs w:val="32"/>
          <w:lang w:val="en-US" w:eastAsia="zh-CN"/>
        </w:rPr>
        <w:t>施工垃圾包括为废焊丝、废钢筋、废塑料管、废电缆等，废料集中收集后，</w:t>
      </w:r>
      <w:bookmarkStart w:id="2" w:name="OLE_LINK126"/>
      <w:r>
        <w:rPr>
          <w:rFonts w:hint="default" w:ascii="仿宋" w:hAnsi="仿宋" w:eastAsia="仿宋_GB2312"/>
          <w:color w:val="000000"/>
          <w:spacing w:val="0"/>
          <w:kern w:val="0"/>
          <w:sz w:val="32"/>
          <w:szCs w:val="32"/>
          <w:lang w:val="en-US" w:eastAsia="zh-CN"/>
        </w:rPr>
        <w:t>送物资回收部门综合利用</w:t>
      </w:r>
      <w:bookmarkEnd w:id="2"/>
      <w:r>
        <w:rPr>
          <w:rFonts w:hint="default" w:ascii="仿宋" w:hAnsi="仿宋" w:eastAsia="仿宋_GB2312"/>
          <w:color w:val="000000"/>
          <w:spacing w:val="0"/>
          <w:kern w:val="0"/>
          <w:sz w:val="32"/>
          <w:szCs w:val="32"/>
          <w:lang w:val="en-US" w:eastAsia="zh-CN"/>
        </w:rPr>
        <w:t>；</w:t>
      </w:r>
      <w:r>
        <w:rPr>
          <w:rFonts w:hint="eastAsia" w:ascii="仿宋" w:hAnsi="仿宋" w:eastAsia="仿宋_GB2312"/>
          <w:color w:val="000000"/>
          <w:spacing w:val="0"/>
          <w:kern w:val="0"/>
          <w:sz w:val="32"/>
          <w:szCs w:val="32"/>
          <w:lang w:val="en-US" w:eastAsia="zh-CN"/>
        </w:rPr>
        <w:t>③</w:t>
      </w:r>
      <w:r>
        <w:rPr>
          <w:rFonts w:hint="default" w:ascii="仿宋" w:hAnsi="仿宋" w:eastAsia="仿宋_GB2312"/>
          <w:color w:val="000000"/>
          <w:spacing w:val="0"/>
          <w:kern w:val="0"/>
          <w:sz w:val="32"/>
          <w:szCs w:val="32"/>
          <w:lang w:val="en-US" w:eastAsia="zh-CN"/>
        </w:rPr>
        <w:t>弃土及时清运，运输时采用蓬布遮盖，避免沿途洒落，按政府指定路线运至政府指定地点处理。</w:t>
      </w:r>
      <w:r>
        <w:rPr>
          <w:rFonts w:hint="eastAsia" w:ascii="仿宋" w:hAnsi="仿宋" w:eastAsia="仿宋_GB2312"/>
          <w:color w:val="000000"/>
          <w:spacing w:val="0"/>
          <w:kern w:val="0"/>
          <w:sz w:val="32"/>
          <w:szCs w:val="32"/>
          <w:lang w:val="en-US" w:eastAsia="zh-CN"/>
        </w:rPr>
        <w:t>严格执行《中华人民共和国固体废物污染环境防治法》（2020年修订）中“三防”要求，即防扬散、防流失、防渗漏，并严格遵守当地有关部门建筑工程渣土管理办法。</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（5）该项目生产后，须拆除原有发电设施，拆除中须做到《</w:t>
      </w:r>
      <w:bookmarkStart w:id="3" w:name="OLE_LINK127"/>
      <w:r>
        <w:rPr>
          <w:rFonts w:hint="eastAsia" w:ascii="仿宋" w:hAnsi="仿宋" w:eastAsia="仿宋_GB2312"/>
          <w:color w:val="000000"/>
          <w:spacing w:val="0"/>
          <w:kern w:val="0"/>
          <w:sz w:val="32"/>
          <w:szCs w:val="32"/>
          <w:lang w:val="en-US" w:eastAsia="zh-CN"/>
        </w:rPr>
        <w:t>企业拆除活动污染防治技术规定</w:t>
      </w:r>
      <w:bookmarkEnd w:id="3"/>
      <w:r>
        <w:rPr>
          <w:rFonts w:hint="eastAsia" w:ascii="仿宋" w:hAnsi="仿宋" w:eastAsia="仿宋_GB2312"/>
          <w:color w:val="000000"/>
          <w:spacing w:val="0"/>
          <w:kern w:val="0"/>
          <w:sz w:val="32"/>
          <w:szCs w:val="32"/>
          <w:lang w:val="en-US" w:eastAsia="zh-CN"/>
        </w:rPr>
        <w:t>》（环保部公告2017第78号），的要求做好环保工作。拆除设备作业面采取洒水、喷雾等防尘措施；拆除的废钢铁、废塑料等送物资回收部门综合利用；拆除的废油、废电容器、废变压器、废铅蓄电池以及沾染毒性废弃容器等危险废物直接运往委托有资质单位处置。</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（6）加强防腐防渗措施。按《报告表》要求做到相应的防腐防渗施工。</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（二）加强运营期环保设施管理，认真落实各项污染防治措施，确保满足相关要求。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1、严格落实大气污染防治措施。</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（1）有组织废气。</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①锅炉废气。本项目2台锅炉废气经各自的SCR脱硝、干法脱硫、</w:t>
      </w:r>
      <w:r>
        <w:rPr>
          <w:rFonts w:hint="default" w:ascii="仿宋" w:hAnsi="仿宋" w:eastAsia="仿宋_GB2312"/>
          <w:color w:val="000000"/>
          <w:spacing w:val="0"/>
          <w:kern w:val="0"/>
          <w:sz w:val="32"/>
          <w:szCs w:val="32"/>
          <w:lang w:val="en-US" w:eastAsia="zh-CN"/>
        </w:rPr>
        <w:t>脉冲布袋除尘器</w:t>
      </w:r>
      <w:r>
        <w:rPr>
          <w:rFonts w:hint="eastAsia" w:ascii="仿宋" w:hAnsi="仿宋" w:eastAsia="仿宋_GB2312"/>
          <w:color w:val="000000"/>
          <w:spacing w:val="0"/>
          <w:kern w:val="0"/>
          <w:sz w:val="32"/>
          <w:szCs w:val="32"/>
          <w:lang w:val="en-US" w:eastAsia="zh-CN"/>
        </w:rPr>
        <w:t>处理后，由1个60m高烟囱排放。脱硫剂仓顶由管道连接入烟气管道，当脱硫剂仓进料时开启，产生的脱硫剂粉尘通过管道进入烟气管道直接参与脱硫反应，灰仓顶部由单独管道接入锅炉废气脉冲布袋除尘器。锅炉废气中颗粒物、SO</w:t>
      </w:r>
      <w:r>
        <w:rPr>
          <w:rFonts w:hint="eastAsia" w:ascii="仿宋" w:hAnsi="仿宋" w:eastAsia="仿宋_GB2312"/>
          <w:color w:val="000000"/>
          <w:spacing w:val="0"/>
          <w:kern w:val="0"/>
          <w:sz w:val="32"/>
          <w:szCs w:val="32"/>
          <w:vertAlign w:val="subscript"/>
          <w:lang w:val="en-US" w:eastAsia="zh-CN"/>
        </w:rPr>
        <w:t>2</w:t>
      </w:r>
      <w:r>
        <w:rPr>
          <w:rFonts w:hint="eastAsia" w:ascii="仿宋" w:hAnsi="仿宋" w:eastAsia="仿宋_GB2312"/>
          <w:color w:val="000000"/>
          <w:spacing w:val="0"/>
          <w:kern w:val="0"/>
          <w:sz w:val="32"/>
          <w:szCs w:val="32"/>
          <w:lang w:val="en-US" w:eastAsia="zh-CN"/>
        </w:rPr>
        <w:t>、NO</w:t>
      </w:r>
      <w:r>
        <w:rPr>
          <w:rFonts w:hint="eastAsia" w:ascii="仿宋" w:hAnsi="仿宋" w:eastAsia="仿宋_GB2312"/>
          <w:color w:val="000000"/>
          <w:spacing w:val="0"/>
          <w:kern w:val="0"/>
          <w:sz w:val="32"/>
          <w:szCs w:val="32"/>
          <w:vertAlign w:val="subscript"/>
          <w:lang w:val="en-US" w:eastAsia="zh-CN"/>
        </w:rPr>
        <w:t>x</w:t>
      </w:r>
      <w:r>
        <w:rPr>
          <w:rFonts w:hint="eastAsia" w:ascii="仿宋" w:hAnsi="仿宋" w:eastAsia="仿宋_GB2312"/>
          <w:color w:val="000000"/>
          <w:spacing w:val="0"/>
          <w:kern w:val="0"/>
          <w:sz w:val="32"/>
          <w:szCs w:val="32"/>
          <w:lang w:val="en-US" w:eastAsia="zh-CN"/>
        </w:rPr>
        <w:t>、氨</w:t>
      </w:r>
      <w:r>
        <w:rPr>
          <w:rFonts w:hint="default" w:ascii="仿宋" w:hAnsi="仿宋" w:eastAsia="仿宋_GB2312"/>
          <w:color w:val="000000"/>
          <w:spacing w:val="0"/>
          <w:kern w:val="0"/>
          <w:sz w:val="32"/>
          <w:szCs w:val="32"/>
          <w:lang w:val="en-US" w:eastAsia="zh-CN"/>
        </w:rPr>
        <w:t>排放浓度</w:t>
      </w:r>
      <w:r>
        <w:rPr>
          <w:rFonts w:hint="eastAsia" w:ascii="仿宋" w:hAnsi="仿宋" w:eastAsia="仿宋_GB2312"/>
          <w:color w:val="000000"/>
          <w:spacing w:val="0"/>
          <w:kern w:val="0"/>
          <w:sz w:val="32"/>
          <w:szCs w:val="32"/>
          <w:lang w:val="en-US" w:eastAsia="zh-CN"/>
        </w:rPr>
        <w:t>及烟气黑度均须执行《火电厂大气污染物排放标准》（DB13/2209-2025）中表1大气污染物排放限值。</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②氨水储罐排放的氨气采用水吸收装置处理，处理效率须大于90%，吸收水采用脱硝系统稀释用水，吸收氨气后的水作为稀释水全部利用，无废水产生。经水吸收装置处理后无组织排放，本项目厂界氨浓度须达到《恶臭污染物排放标准》（GB14554－93）表1中氨厂界标准值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（2）无组织废气。</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本项目采用高炉、转炉煤气发电，属于燃用清洁能源，锅炉废气中二氧化硫、氮氧化物产生浓度均较低</w:t>
      </w:r>
      <w:r>
        <w:rPr>
          <w:rFonts w:hint="eastAsia" w:ascii="仿宋" w:hAnsi="仿宋" w:eastAsia="仿宋_GB2312"/>
          <w:color w:val="000000"/>
          <w:spacing w:val="0"/>
          <w:kern w:val="0"/>
          <w:sz w:val="32"/>
          <w:szCs w:val="32"/>
          <w:lang w:val="en-US" w:eastAsia="zh-CN"/>
        </w:rPr>
        <w:t>，技改后颗粒物、SO</w:t>
      </w:r>
      <w:r>
        <w:rPr>
          <w:rFonts w:hint="eastAsia" w:ascii="仿宋" w:hAnsi="仿宋" w:eastAsia="仿宋_GB2312"/>
          <w:color w:val="000000"/>
          <w:spacing w:val="0"/>
          <w:kern w:val="0"/>
          <w:sz w:val="32"/>
          <w:szCs w:val="32"/>
          <w:vertAlign w:val="subscript"/>
          <w:lang w:val="en-US" w:eastAsia="zh-CN"/>
        </w:rPr>
        <w:t>2</w:t>
      </w:r>
      <w:r>
        <w:rPr>
          <w:rFonts w:hint="eastAsia" w:ascii="仿宋" w:hAnsi="仿宋" w:eastAsia="仿宋_GB2312"/>
          <w:color w:val="000000"/>
          <w:spacing w:val="0"/>
          <w:kern w:val="0"/>
          <w:sz w:val="32"/>
          <w:szCs w:val="32"/>
          <w:lang w:val="en-US" w:eastAsia="zh-CN"/>
        </w:rPr>
        <w:t>治理措施与现状相同，氮氧化物治理措施效率较现状更高，通过类比现状污染物均可达标排放，因此技改后各污染物排放浓度仍可稳定达标，废气治理措施可行。厂界无组织颗粒物须执行《大气污染物综合排放标准》</w:t>
      </w:r>
      <w:r>
        <w:rPr>
          <w:rFonts w:hint="eastAsia" w:ascii="仿宋_GB2312" w:hAnsi="仿宋_GB2312" w:eastAsia="仿宋_GB2312" w:cs="仿宋_GB2312"/>
          <w:color w:val="000000"/>
          <w:spacing w:val="0"/>
          <w:kern w:val="0"/>
          <w:sz w:val="32"/>
          <w:szCs w:val="32"/>
          <w:lang w:val="en-US" w:eastAsia="zh-CN"/>
        </w:rPr>
        <w:t>（GB 16297-1996</w:t>
      </w:r>
      <w:r>
        <w:rPr>
          <w:rFonts w:hint="eastAsia" w:ascii="仿宋" w:hAnsi="仿宋" w:eastAsia="仿宋_GB2312"/>
          <w:color w:val="000000"/>
          <w:spacing w:val="0"/>
          <w:kern w:val="0"/>
          <w:sz w:val="32"/>
          <w:szCs w:val="32"/>
          <w:lang w:val="en-US" w:eastAsia="zh-CN"/>
        </w:rPr>
        <w:t>）表2无组织排放监控浓度限值及《关于执行钢铁等行业大气污染物排放特别要求的通知》（秦皇岛市人民政府办公室[2021]-10）中企业边界标准限值的要求；厂区内灰库、脱硫剂仓外颗粒物须达到《火电厂大气污染物排放标准》（DB13/2209-2025）中表2排放限值。</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2、严格落实各项水污染防治措施。</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化学水制备系统浓水废水回用于高炉冲渣，循环冷却水系统废水、锅炉系统废水、经处理后的生活污水进厂区综合污水处理站处理后全部回用，不外排。</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企业现有综合污水处理站采用“格栅→调节池→高密池→V型滤池→过滤器提升水池→深度处理”工艺，设计处理能力为</w:t>
      </w:r>
      <w:r>
        <w:rPr>
          <w:rFonts w:hint="eastAsia" w:ascii="仿宋_GB2312" w:hAnsi="仿宋_GB2312" w:eastAsia="仿宋_GB2312" w:cs="仿宋_GB2312"/>
          <w:color w:val="000000"/>
          <w:spacing w:val="0"/>
          <w:kern w:val="0"/>
          <w:sz w:val="32"/>
          <w:szCs w:val="32"/>
          <w:lang w:val="en-US" w:eastAsia="zh-CN"/>
        </w:rPr>
        <w:t>4000t/d</w:t>
      </w:r>
      <w:r>
        <w:rPr>
          <w:rFonts w:hint="eastAsia" w:ascii="仿宋" w:hAnsi="仿宋" w:eastAsia="仿宋_GB2312"/>
          <w:color w:val="000000"/>
          <w:spacing w:val="0"/>
          <w:kern w:val="0"/>
          <w:sz w:val="32"/>
          <w:szCs w:val="32"/>
          <w:lang w:val="en-US" w:eastAsia="zh-CN"/>
        </w:rPr>
        <w:t>；地埋式生活污水处理装置设计处理</w:t>
      </w:r>
      <w:r>
        <w:rPr>
          <w:rFonts w:hint="eastAsia" w:ascii="仿宋_GB2312" w:hAnsi="仿宋_GB2312" w:eastAsia="仿宋_GB2312" w:cs="仿宋_GB2312"/>
          <w:color w:val="000000"/>
          <w:spacing w:val="0"/>
          <w:kern w:val="0"/>
          <w:sz w:val="32"/>
          <w:szCs w:val="32"/>
          <w:lang w:val="en-US" w:eastAsia="zh-CN"/>
        </w:rPr>
        <w:t>能力为120m</w:t>
      </w:r>
      <w:r>
        <w:rPr>
          <w:rFonts w:hint="eastAsia" w:ascii="仿宋_GB2312" w:hAnsi="仿宋_GB2312" w:eastAsia="仿宋_GB2312" w:cs="仿宋_GB2312"/>
          <w:color w:val="000000"/>
          <w:spacing w:val="0"/>
          <w:kern w:val="0"/>
          <w:sz w:val="32"/>
          <w:szCs w:val="32"/>
          <w:vertAlign w:val="superscript"/>
          <w:lang w:val="en-US" w:eastAsia="zh-CN"/>
        </w:rPr>
        <w:t>3</w:t>
      </w:r>
      <w:r>
        <w:rPr>
          <w:rFonts w:hint="eastAsia" w:ascii="仿宋_GB2312" w:hAnsi="仿宋_GB2312" w:eastAsia="仿宋_GB2312" w:cs="仿宋_GB2312"/>
          <w:color w:val="000000"/>
          <w:spacing w:val="0"/>
          <w:kern w:val="0"/>
          <w:sz w:val="32"/>
          <w:szCs w:val="32"/>
          <w:lang w:val="en-US" w:eastAsia="zh-CN"/>
        </w:rPr>
        <w:t>/d</w:t>
      </w:r>
      <w:r>
        <w:rPr>
          <w:rFonts w:hint="eastAsia" w:ascii="仿宋" w:hAnsi="仿宋" w:eastAsia="仿宋_GB2312"/>
          <w:color w:val="000000"/>
          <w:spacing w:val="0"/>
          <w:kern w:val="0"/>
          <w:sz w:val="32"/>
          <w:szCs w:val="32"/>
          <w:lang w:val="en-US" w:eastAsia="zh-CN"/>
        </w:rPr>
        <w:t>，采用“化粪池+一体化AO”处理工艺；该项目不新增废水排水，其处理能力能满足本项目废水处理需求，依托可行。</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3、严格落实噪声污染防治措施。</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 w:hAnsi="仿宋" w:eastAsia="仿宋_GB2312"/>
          <w:color w:val="000000"/>
          <w:spacing w:val="0"/>
          <w:kern w:val="0"/>
          <w:sz w:val="32"/>
          <w:szCs w:val="32"/>
          <w:lang w:val="en-US" w:eastAsia="zh-CN"/>
        </w:rPr>
        <w:t>该项目主要噪声源有发电机、汽轮机、水泵、风机等产生的设备噪声、锅炉安全阀排气口、冷却塔等。汽轮机、发电机、泵、</w:t>
      </w:r>
      <w:r>
        <w:rPr>
          <w:rFonts w:hint="eastAsia" w:ascii="仿宋_GB2312" w:hAnsi="仿宋_GB2312" w:eastAsia="仿宋_GB2312" w:cs="仿宋_GB2312"/>
          <w:color w:val="000000"/>
          <w:spacing w:val="0"/>
          <w:kern w:val="0"/>
          <w:sz w:val="32"/>
          <w:szCs w:val="32"/>
          <w:lang w:val="en-US" w:eastAsia="zh-CN"/>
        </w:rPr>
        <w:t>风机等置于厂房内利用建筑隔声，锅炉风机加装消声器，振动设备加装减振措施，汽轮机进气口安装小孔消音器，锅炉锅炉安全阀和排汽口均加装有专用消音器，冷却塔采用导流消声片。该项目实施后厂界噪声须达到《工业企业厂界环境噪声排放标准》（GB12348-2008）3类区标准昼间65dB(A)、夜间 55dB(A)</w:t>
      </w:r>
      <w:r>
        <w:rPr>
          <w:rFonts w:hint="eastAsia" w:ascii="仿宋_GB2312" w:hAnsi="仿宋_GB2312" w:eastAsia="仿宋_GB2312" w:cs="仿宋_GB2312"/>
          <w:color w:val="000000"/>
          <w:spacing w:val="0"/>
          <w:kern w:val="0"/>
          <w:sz w:val="32"/>
          <w:szCs w:val="32"/>
          <w:lang w:val="en-US" w:eastAsia="zh-CN"/>
        </w:rPr>
        <w:t>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 xml:space="preserve"> 4、严格落实固体废物污染防治措施。</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企业要严格落实固体废物分类处置和综合利用措施，认真落实《报告表》规定的固体废物处理、处置措施。按照“资源化、减量化、无害化”的固废处置原则，实现综合利用。该项目产生的危险废物有：冷油器产生的废油，日常设备维护产生的废润滑油及废油桶，脱硝装置定期更换的废钒钛系催化剂。危险废物采用符合标准的密闭桶或袋盛装，废钒钛系催化剂直接转移，废润滑油、废油桶暂存现有危废库，危废库容量仍满足，现有危险库已通过竣工环保验收，依托可行。危废库内不混合贮存性质不相容而未经安全性处置的危险废物；危险废物容器和包装物以及危险废物贮存设施、场所按规定设置危险废物识别标志；仓库式贮存设施分开存放不相容危险废物，按危险废物的种类和特性进行分区贮存，采用防腐、防渗地面和裙脚，设置防止泄漏物质扩散至外环境的拦截、导流、收集设施；贮存堆场防风、防雨、防晒，现有危废库符合《危险废物贮存污染控制标准》（GB18597-2023）相关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一般固体废物：脱硫灰、废除尘滤袋、废膜组件。脱硫灰直接采用罐车外运综合利用，废除尘滤袋、废膜组件随产随清，均不在厂区储存。按照《一般工业固体废物管理台账制定指南》（试行）有关要求，对新增的一般工业固废建立工业固体废物管理台账，记录固体废物的基础信息及流向信息、记录固体废物在产废单位内部的贮存、利用、处置等信息，管理台账保存期限不少于5年。</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5.严格落实地下水、土壤防治措施。</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(1)源头控制措施：坚持预防为主，防治结合，综合治理的原则，通过水回收系统，增加水重复利用率，减少清洁水的使用量，减少污水排放，从源头上减少地下水、土壤污染源的产生。</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(2)过程防控措施：按要求做好分区防渗，一般情况以水平防渗为主，根据项目场地包气带防污性能、污染控制难易程度和污染物特性，提出防渗技术要求。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(3)监测与管理:现有厂区已制定地下水、土壤跟踪监测计划，该项目新增的氨水储罐处新增土壤检测点，监测频次1次/年，监测因子pH值、氨氮，跟踪监测可以及时发现可能的地下水、土壤污染，采取补救措施。修订突发环境事件预案，建立环境污染应急机制。健全应急预案的日常协调和指挥机构；落实相关部门在应急预案中的职责和分工；加强特大事故应急救援组织平常的训练和演习；确保应急救援的人员、装备情况及经费保障。</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6.认真落实《报告表》其他环境管理要求。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三．强化环境风险防范和应急措施。该项目环境风险潜势综合等级为Ⅱ级，环境风险评价等级为三级，涉及危险物质（煤气、氨水等），存在发生泄漏、火灾次生污染物排放等环境风险污染事故的可能。依据最大可信事故的分析，确定本评价的最大可信事故为氨水储罐破裂产生泄漏事故，影响途径主要为大气环境、水环境、土壤环境。如事故下应立即启动应急预案，定期检测泄漏地点附近的空气中CO、氨浓度及地下水、土壤中pH、氨氮、石油烃等特征污染物浓度，根据检测结果划定受污染需处理的区域，通知超标范围内企业及居民区立即撤离，同时采取一切措施降低污染物浓度直至达到国家污染物排放标准。须加强风险源管控，须新增本次环境风险防范措施和应急措施的突发环境事件应急预案、备案，加强职工的安全生产教育，提高风险意识，并与当地政府及相关部门应急预案做好衔接，定期进行应急培训和演练，有效防范和应对环境风险。</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 xml:space="preserve">四．严格落实《报告表》中各项环境管理要求及清洁生产措施。对污染防治设施进行分表计电。企业须按照国家和地方排污许可有关规定，及时办理排污许可相关事宜。 </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五．在项目运营过程中，应建立畅通的公众参与平台，及时解决公众关注的环境问题，满足公众合理的环境诉求。定期发布企业环境信息，主动接受社会监督。</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六．进一步强化污染源管理工作。按照国家和地方有关规定，建设规范的污染物排放口，设立标志牌。对《报告表》要求的监测内容定期开展监测，严格按照环境监测管理规定和技术规范的要求，设计、建设、维护永久性采样口、采样测试平台。严格按照《报告表》要求设置在线监控设施，并确保设备正常运行。</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七．本项目建设必须严格执行配套建设的环境保护设施与主体工程同时设计、同时施工、同时投产使用的环境保护“三同时”制度。项目竣工后，须按规定开展环境保护设施竣工验收工作，验收合格后，项目方可正式投入生产或者使用，未经验收或者验收不合格的，不得投入生产或者使用。本项目环境影响评价文件经批准后，如设计和施工变化</w:t>
      </w:r>
      <w:bookmarkStart w:id="4" w:name="_GoBack"/>
      <w:bookmarkEnd w:id="4"/>
      <w:r>
        <w:rPr>
          <w:rFonts w:hint="eastAsia" w:ascii="仿宋_GB2312" w:hAnsi="仿宋_GB2312" w:eastAsia="仿宋_GB2312" w:cs="仿宋_GB2312"/>
          <w:color w:val="000000"/>
          <w:spacing w:val="0"/>
          <w:kern w:val="0"/>
          <w:sz w:val="32"/>
          <w:szCs w:val="32"/>
          <w:lang w:val="en-US" w:eastAsia="zh-CN"/>
        </w:rPr>
        <w:t>造成工程性质、规模、工艺、防治污染的措施发生重大变动的，应当在调整前重新报批本项目环境影响评价文件。工程自批复之日起五年后方决定开工建设的，须将环评文件报行政审批部门重新审核。</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八．你公司在接到本批复后的10个工作日内，须将《报告表》及其批复送至秦皇岛市生态环境局青龙满族自治县分局备案，日常监督管理由当地生态环境主管部门负责。</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0" w:firstLineChars="15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秦皇岛市行政审批局</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 xml:space="preserve">                            2025年11月26日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rPr>
      </w:pPr>
    </w:p>
    <w:p>
      <w:pPr>
        <w:rPr>
          <w:color w:val="0000FF"/>
        </w:rPr>
      </w:pPr>
    </w:p>
    <w:sectPr>
      <w:footerReference r:id="rId3" w:type="default"/>
      <w:pgSz w:w="11906" w:h="16838"/>
      <w:pgMar w:top="1984" w:right="1474" w:bottom="1871" w:left="1587"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round/>
                      </a:ln>
                    </wps:spPr>
                    <wps:txbx>
                      <w:txbxContent>
                        <w:p>
                          <w:pPr>
                            <w:pStyle w:val="8"/>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- 7 -</w:t>
                          </w:r>
                          <w:r>
                            <w:rPr>
                              <w:rFonts w:hint="eastAsia" w:ascii="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tjwHC0QAAAAMBAAAPAAAAAAAA&#10;AAEAIAAAADgAAABkcnMvZG93bnJldi54bWxQSwECFAAUAAAACACHTuJABlHBiQMCAAD0AwAADgAA&#10;AAAAAAABACAAAAA2AQAAZHJzL2Uyb0RvYy54bWxQSwUGAAAAAAYABgBZAQAAqwUAAAAA&#10;">
              <v:fill on="f" focussize="0,0"/>
              <v:stroke on="f" joinstyle="round"/>
              <v:imagedata o:title=""/>
              <o:lock v:ext="edit" aspectratio="f"/>
              <v:textbox inset="0mm,0mm,0mm,0mm" style="mso-fit-shape-to-text:t;">
                <w:txbxContent>
                  <w:p>
                    <w:pPr>
                      <w:pStyle w:val="8"/>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- 7 -</w:t>
                    </w:r>
                    <w:r>
                      <w:rPr>
                        <w:rFonts w:hint="eastAsia" w:ascii="宋体" w:cs="宋体"/>
                        <w:sz w:val="28"/>
                        <w:szCs w:val="28"/>
                      </w:rPr>
                      <w:fldChar w:fldCharType="end"/>
                    </w: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525" cy="139700"/>
              <wp:effectExtent l="0" t="0" r="0" b="0"/>
              <wp:wrapNone/>
              <wp:docPr id="4" name="文本框 2"/>
              <wp:cNvGraphicFramePr/>
              <a:graphic xmlns:a="http://schemas.openxmlformats.org/drawingml/2006/main">
                <a:graphicData uri="http://schemas.microsoft.com/office/word/2010/wordprocessingShape">
                  <wps:wsp>
                    <wps:cNvSpPr/>
                    <wps:spPr>
                      <a:xfrm>
                        <a:off x="0" y="0"/>
                        <a:ext cx="9524" cy="139560"/>
                      </a:xfrm>
                      <a:prstGeom prst="rect">
                        <a:avLst/>
                      </a:prstGeom>
                      <a:noFill/>
                      <a:ln w="9525" cap="flat" cmpd="sng">
                        <a:noFill/>
                        <a:prstDash val="solid"/>
                        <a:round/>
                      </a:ln>
                    </wps:spPr>
                    <wps:txbx>
                      <w:txbxContent>
                        <w:p>
                          <w:pPr>
                            <w:pStyle w:val="8"/>
                          </w:pP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1pt;width:0.75pt;mso-position-horizontal:outside;mso-position-horizontal-relative:margin;mso-wrap-style:none;z-index:251659264;mso-width-relative:page;mso-height-relative:page;" filled="f" stroked="f" coordsize="21600,21600" o:gfxdata="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P9oIbrQAAAAAgEAAA8AAAAAAAAAAQAg&#10;AAAAOAAAAGRycy9kb3ducmV2LnhtbFBLAQIUABQAAAAIAIdO4kAHpKtqAAIAAPIDAAAOAAAAAAAA&#10;AAEAIAAAADUBAABkcnMvZTJvRG9jLnhtbFBLBQYAAAAABgAGAFkBAACnBQAAAAA=&#10;">
              <v:fill on="f" focussize="0,0"/>
              <v:stroke on="f" joinstyle="round"/>
              <v:imagedata o:title=""/>
              <o:lock v:ext="edit" aspectratio="f"/>
              <v:textbox inset="0mm,0mm,0mm,0mm" style="mso-fit-shape-to-text:t;">
                <w:txbxContent>
                  <w:p>
                    <w:pPr>
                      <w:pStyle w:val="8"/>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ZDZkMDM3YmFkOGY3YzM1Y2RhNTZjZTE1MTUyNzYxYmMifQ=="/>
  </w:docVars>
  <w:rsids>
    <w:rsidRoot w:val="00000000"/>
    <w:rsid w:val="1CA1CE04"/>
    <w:rsid w:val="2E834E7A"/>
    <w:rsid w:val="2F73BF0D"/>
    <w:rsid w:val="2FEEB70E"/>
    <w:rsid w:val="47FF0BB1"/>
    <w:rsid w:val="5FB4B779"/>
    <w:rsid w:val="64EF065E"/>
    <w:rsid w:val="6AECDED7"/>
    <w:rsid w:val="6BF7AF5D"/>
    <w:rsid w:val="73FF471D"/>
    <w:rsid w:val="77F687C2"/>
    <w:rsid w:val="7BD479DE"/>
    <w:rsid w:val="7DB7E599"/>
    <w:rsid w:val="7EF76C74"/>
    <w:rsid w:val="7F779686"/>
    <w:rsid w:val="7FFFE39D"/>
    <w:rsid w:val="97FBE013"/>
    <w:rsid w:val="B18F75AC"/>
    <w:rsid w:val="B3F75078"/>
    <w:rsid w:val="BBFA7B97"/>
    <w:rsid w:val="BF3FDAA2"/>
    <w:rsid w:val="BFFD7316"/>
    <w:rsid w:val="CB5DF26B"/>
    <w:rsid w:val="CF57B9D8"/>
    <w:rsid w:val="D7FF5D28"/>
    <w:rsid w:val="DA557EF3"/>
    <w:rsid w:val="DF7F4C55"/>
    <w:rsid w:val="DFF98328"/>
    <w:rsid w:val="E3BDA875"/>
    <w:rsid w:val="E6674EB5"/>
    <w:rsid w:val="EF9B7AF9"/>
    <w:rsid w:val="EFDB55CE"/>
    <w:rsid w:val="F4F73372"/>
    <w:rsid w:val="FB6FA281"/>
    <w:rsid w:val="FDB7BEB8"/>
    <w:rsid w:val="FEB5E46C"/>
    <w:rsid w:val="FF6E18DB"/>
    <w:rsid w:val="FF7CBA2D"/>
    <w:rsid w:val="FF7FDF58"/>
    <w:rsid w:val="FFEE0BC6"/>
    <w:rsid w:val="FFFB16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style>
  <w:style w:type="paragraph" w:styleId="6">
    <w:name w:val="toc 1"/>
    <w:basedOn w:val="1"/>
    <w:next w:val="1"/>
    <w:qFormat/>
    <w:uiPriority w:val="0"/>
  </w:style>
  <w:style w:type="paragraph" w:styleId="7">
    <w:name w:val="Plain Text"/>
    <w:basedOn w:val="1"/>
    <w:qFormat/>
    <w:uiPriority w:val="0"/>
    <w:rPr>
      <w:rFonts w:ascii="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1"/>
    <w:qFormat/>
    <w:uiPriority w:val="0"/>
    <w:pPr>
      <w:widowControl w:val="0"/>
      <w:spacing w:after="120" w:line="240" w:lineRule="atLeast"/>
      <w:ind w:firstLine="100" w:firstLineChars="100"/>
      <w:jc w:val="both"/>
    </w:pPr>
    <w:rPr>
      <w:rFonts w:ascii="Calibri" w:hAnsi="Calibri" w:eastAsia="宋体" w:cs="Arial"/>
      <w:kern w:val="2"/>
      <w:sz w:val="21"/>
      <w:szCs w:val="24"/>
      <w:lang w:val="en-US" w:eastAsia="zh-CN" w:bidi="ar-SA"/>
    </w:rPr>
  </w:style>
  <w:style w:type="character" w:styleId="13">
    <w:name w:val="Strong"/>
    <w:basedOn w:val="12"/>
    <w:qFormat/>
    <w:uiPriority w:val="0"/>
    <w:rPr>
      <w:b/>
    </w:rPr>
  </w:style>
  <w:style w:type="character" w:customStyle="1" w:styleId="14">
    <w:name w:val="qowt-font4-gb2312"/>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4061</Words>
  <Characters>4456</Characters>
  <Lines>177</Lines>
  <Paragraphs>41</Paragraphs>
  <TotalTime>57</TotalTime>
  <ScaleCrop>false</ScaleCrop>
  <LinksUpToDate>false</LinksUpToDate>
  <CharactersWithSpaces>4481</CharactersWithSpaces>
  <Application>WPS Office_11.8.2.12333_F1E327BC-269C-435d-A152-05C5408002CA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2020-12-17T22:31:00Z</dcterms:created>
  <dc:creator>雯</dc:creator>
  <cp:lastModifiedBy>user</cp:lastModifiedBy>
  <cp:lastPrinted>2025-11-26T09:10:26Z</cp:lastPrinted>
  <dcterms:modified xsi:type="dcterms:W3CDTF">2025-11-26T09:10:33Z</dcterms:modified>
  <cp:revision>353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833522ED1B1145F89774B063EC8C31EE</vt:lpwstr>
  </property>
</Properties>
</file>