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val="0"/>
        <w:spacing w:line="560" w:lineRule="exact"/>
        <w:jc w:val="right"/>
        <w:textAlignment w:val="auto"/>
        <w:rPr>
          <w:rFonts w:ascii="仿宋" w:eastAsia="仿宋" w:cs="Times New Roman" w:hAnsi="仿宋"/>
          <w:b/>
          <w:bCs/>
          <w:kern w:val="0"/>
          <w:sz w:val="44"/>
          <w:szCs w:val="44"/>
        </w:rPr>
      </w:pPr>
      <w:r>
        <w:rPr>
          <w:rFonts w:ascii="仿宋" w:eastAsia="仿宋" w:cs="Times New Roman" w:hAnsi="仿宋" w:hint="eastAsia"/>
          <w:sz w:val="32"/>
          <w:szCs w:val="32"/>
        </w:rPr>
        <w:t xml:space="preserve">     </w:t>
      </w:r>
    </w:p>
    <w:p>
      <w:pPr>
        <w:keepNext w:val="0"/>
        <w:keepLines w:val="0"/>
        <w:pageBreakBefore w:val="0"/>
        <w:widowControl w:val="0"/>
        <w:kinsoku/>
        <w:wordWrap/>
        <w:overflowPunct/>
        <w:topLinePunct w:val="0"/>
        <w:autoSpaceDE/>
        <w:autoSpaceDN/>
        <w:bidi w:val="0"/>
        <w:adjustRightInd/>
        <w:snapToGrid/>
        <w:spacing w:beforeLines="50" w:before="156" w:afterLines="50" w:after="156" w:line="560" w:lineRule="exact"/>
        <w:jc w:val="right"/>
        <w:textAlignment w:val="auto"/>
        <w:rPr>
          <w:rFonts w:ascii="Times New Roman" w:eastAsia="仿宋_GB2312" w:cs="仿宋_GB2312" w:hAnsi="Times New Roman" w:hint="eastAsia"/>
          <w:color w:val="auto"/>
          <w:sz w:val="32"/>
          <w:szCs w:val="32"/>
          <w:lang w:val="en-US" w:eastAsia="zh-CN"/>
        </w:rPr>
      </w:pPr>
      <w:r>
        <w:rPr>
          <w:rFonts w:ascii="Times New Roman" w:eastAsia="仿宋_GB2312" w:cs="仿宋_GB2312" w:hAnsi="Times New Roman" w:hint="eastAsia"/>
          <w:color w:val="auto"/>
          <w:sz w:val="32"/>
          <w:szCs w:val="32"/>
          <w:lang w:val="en-US" w:eastAsia="zh-CN"/>
        </w:rPr>
        <w:t xml:space="preserve"> </w:t>
      </w:r>
      <w:r>
        <w:rPr>
          <w:rFonts w:ascii="Times New Roman" w:eastAsia="仿宋_GB2312" w:cs="仿宋_GB2312" w:hAnsi="Times New Roman" w:hint="eastAsia"/>
          <w:color w:val="auto"/>
          <w:sz w:val="32"/>
          <w:szCs w:val="32"/>
        </w:rPr>
        <w:t>秦审批环准</w:t>
      </w:r>
      <w:r>
        <w:rPr>
          <w:rFonts w:ascii="Times New Roman" w:eastAsia="仿宋_GB2312" w:cs="仿宋_GB2312" w:hAnsi="Times New Roman" w:hint="eastAsia"/>
          <w:color w:val="auto"/>
          <w:sz w:val="32"/>
          <w:szCs w:val="32"/>
          <w:lang w:val="en-US" w:eastAsia="zh-CN"/>
        </w:rPr>
        <w:t>许〔202</w:t>
      </w:r>
      <w:r>
        <w:rPr>
          <w:rFonts w:ascii="Times New Roman" w:eastAsia="仿宋_GB2312" w:cs="仿宋_GB2312" w:hAnsi="Times New Roman"/>
          <w:color w:val="auto"/>
          <w:sz w:val="32"/>
          <w:szCs w:val="32"/>
          <w:lang w:val="en-US" w:eastAsia="zh-CN"/>
        </w:rPr>
        <w:t>5</w:t>
      </w:r>
      <w:r>
        <w:rPr>
          <w:rFonts w:ascii="Times New Roman" w:eastAsia="仿宋_GB2312" w:cs="仿宋_GB2312" w:hAnsi="Times New Roman" w:hint="eastAsia"/>
          <w:color w:val="auto"/>
          <w:sz w:val="32"/>
          <w:szCs w:val="32"/>
          <w:lang w:val="en-US" w:eastAsia="zh-CN"/>
        </w:rPr>
        <w:t>〕02-00</w:t>
      </w:r>
      <w:r>
        <w:rPr>
          <w:rFonts w:ascii="Times New Roman" w:eastAsia="仿宋_GB2312" w:cs="仿宋_GB2312" w:hAnsi="Times New Roman"/>
          <w:color w:val="auto"/>
          <w:sz w:val="32"/>
          <w:szCs w:val="32"/>
          <w:lang w:val="en-US" w:eastAsia="zh-CN"/>
        </w:rPr>
        <w:t>4</w:t>
      </w:r>
      <w:r>
        <w:rPr>
          <w:rFonts w:ascii="Times New Roman" w:eastAsia="仿宋_GB2312" w:cs="仿宋_GB2312" w:hAnsi="Times New Roman"/>
          <w:color w:val="auto"/>
          <w:sz w:val="32"/>
          <w:szCs w:val="32"/>
          <w:lang w:val="en-US" w:eastAsia="zh-CN"/>
        </w:rPr>
        <w:t>3</w:t>
      </w:r>
      <w:r>
        <w:rPr>
          <w:rFonts w:ascii="Times New Roman" w:eastAsia="仿宋_GB2312" w:cs="仿宋_GB2312" w:hAnsi="Times New Roman" w:hint="eastAsia"/>
          <w:color w:val="auto"/>
          <w:sz w:val="32"/>
          <w:szCs w:val="32"/>
          <w:lang w:val="en-US" w:eastAsia="zh-CN"/>
        </w:rPr>
        <w:t>号</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hAnsi="方正小标宋简体" w:hint="eastAsia"/>
          <w:kern w:val="44"/>
          <w:sz w:val="44"/>
          <w:szCs w:val="44"/>
        </w:rPr>
      </w:pPr>
      <w:r>
        <w:rPr>
          <w:rFonts w:ascii="方正小标宋简体" w:eastAsia="方正小标宋简体" w:cs="方正小标宋简体" w:hAnsi="方正小标宋简体" w:hint="eastAsia"/>
          <w:kern w:val="44"/>
          <w:sz w:val="44"/>
          <w:szCs w:val="44"/>
        </w:rPr>
        <w:t>关于</w:t>
      </w:r>
      <w:r>
        <w:rPr>
          <w:rFonts w:ascii="方正小标宋简体" w:eastAsia="方正小标宋简体" w:cs="方正小标宋简体" w:hAnsi="方正小标宋简体"/>
          <w:kern w:val="44"/>
          <w:sz w:val="44"/>
          <w:szCs w:val="44"/>
          <w:lang w:val="en-US" w:eastAsia="zh-CN"/>
        </w:rPr>
        <w:t>秦皇岛骊拓建筑节能材料厂建材加工生产技改项目</w:t>
      </w:r>
      <w:r>
        <w:rPr>
          <w:rFonts w:ascii="方正小标宋简体" w:eastAsia="方正小标宋简体" w:cs="方正小标宋简体" w:hAnsi="方正小标宋简体" w:hint="eastAsia"/>
          <w:kern w:val="44"/>
          <w:sz w:val="44"/>
          <w:szCs w:val="44"/>
        </w:rPr>
        <w:t>环境影响报告表的批复</w:t>
      </w:r>
    </w:p>
    <w:p>
      <w:pPr>
        <w:keepNext w:val="0"/>
        <w:keepLines w:val="0"/>
        <w:pageBreakBefore w:val="0"/>
        <w:widowControl w:val="0"/>
        <w:kinsoku/>
        <w:wordWrap/>
        <w:overflowPunct/>
        <w:topLinePunct w:val="0"/>
        <w:autoSpaceDE/>
        <w:autoSpaceDN/>
        <w:bidi w:val="0"/>
        <w:adjustRightInd/>
        <w:spacing w:line="560" w:lineRule="exact"/>
        <w:ind w:left="0" w:right="0"/>
        <w:textAlignment w:val="auto"/>
        <w:rPr>
          <w:rFonts w:ascii="仿宋" w:eastAsia="仿宋" w:cs="Times New Roman" w:hAnsi="仿宋"/>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snapToGrid w:val="0"/>
        <w:spacing w:line="560" w:lineRule="exact"/>
        <w:ind w:left="0" w:right="0"/>
        <w:textAlignment w:val="auto"/>
        <w:rPr>
          <w:rFonts w:ascii="仿宋_GB2312" w:eastAsia="仿宋_GB2312" w:cs="仿宋_GB2312" w:hAnsi="仿宋_GB2312" w:hint="eastAsia"/>
          <w:sz w:val="32"/>
          <w:szCs w:val="32"/>
        </w:rPr>
      </w:pPr>
      <w:r>
        <w:rPr>
          <w:rFonts w:ascii="仿宋_GB2312" w:eastAsia="仿宋_GB2312" w:cs="仿宋_GB2312" w:hAnsi="仿宋_GB2312"/>
          <w:sz w:val="32"/>
          <w:szCs w:val="32"/>
          <w:lang w:val="en-US" w:eastAsia="zh-CN"/>
        </w:rPr>
        <w:t>秦皇岛骊拓建筑节能材料厂</w:t>
      </w:r>
      <w:r>
        <w:rPr>
          <w:rFonts w:ascii="仿宋_GB2312" w:eastAsia="仿宋_GB2312" w:cs="仿宋_GB2312" w:hAnsi="仿宋_GB2312" w:hint="eastAsia"/>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textAlignment w:val="auto"/>
        <w:rPr>
          <w:rFonts w:ascii="仿宋_GB2312" w:eastAsia="仿宋_GB2312" w:cs="仿宋_GB2312" w:hAnsi="仿宋_GB2312" w:hint="eastAsia"/>
          <w:b/>
          <w:bCs/>
          <w:color w:val="000000"/>
          <w:kern w:val="0"/>
          <w:sz w:val="32"/>
          <w:szCs w:val="32"/>
        </w:rPr>
      </w:pPr>
      <w:r>
        <w:rPr>
          <w:rFonts w:ascii="仿宋_GB2312" w:eastAsia="仿宋_GB2312" w:cs="仿宋_GB2312" w:hAnsi="仿宋_GB2312" w:hint="eastAsia"/>
          <w:color w:val="000000"/>
          <w:kern w:val="0"/>
          <w:sz w:val="32"/>
          <w:szCs w:val="32"/>
        </w:rPr>
        <w:t>所</w:t>
      </w:r>
      <w:r>
        <w:rPr>
          <w:rFonts w:ascii="仿宋_GB2312" w:eastAsia="仿宋_GB2312" w:cs="仿宋_GB2312" w:hAnsi="仿宋_GB2312" w:hint="eastAsia"/>
          <w:sz w:val="32"/>
          <w:szCs w:val="32"/>
        </w:rPr>
        <w:t>报《</w:t>
      </w:r>
      <w:r>
        <w:rPr>
          <w:rFonts w:ascii="仿宋_GB2312" w:eastAsia="仿宋_GB2312" w:cs="仿宋_GB2312" w:hAnsi="仿宋_GB2312"/>
          <w:sz w:val="32"/>
          <w:szCs w:val="32"/>
          <w:lang w:val="en-US" w:eastAsia="zh-CN"/>
        </w:rPr>
        <w:t>秦皇岛骊拓建筑节能材料厂建材加工生产技改项目</w:t>
      </w:r>
      <w:r>
        <w:rPr>
          <w:rFonts w:ascii="仿宋_GB2312" w:eastAsia="仿宋_GB2312" w:cs="仿宋_GB2312" w:hAnsi="仿宋_GB2312" w:hint="eastAsia"/>
          <w:sz w:val="32"/>
          <w:szCs w:val="32"/>
        </w:rPr>
        <w:t>环境影响报告表》（以下简称《报告表》）</w:t>
      </w:r>
      <w:r>
        <w:rPr>
          <w:rFonts w:ascii="仿宋_GB2312" w:eastAsia="仿宋_GB2312" w:cs="仿宋_GB2312" w:hAnsi="仿宋_GB2312" w:hint="eastAsia"/>
          <w:color w:val="000000"/>
          <w:sz w:val="32"/>
          <w:szCs w:val="32"/>
          <w:shd w:val="clear" w:color="auto" w:fill="FFFFFF"/>
        </w:rPr>
        <w:t>审批申请</w:t>
      </w:r>
      <w:r>
        <w:rPr>
          <w:rFonts w:ascii="仿宋_GB2312" w:eastAsia="仿宋_GB2312" w:cs="仿宋_GB2312" w:hAnsi="仿宋_GB2312" w:hint="eastAsia"/>
          <w:sz w:val="32"/>
          <w:szCs w:val="32"/>
        </w:rPr>
        <w:t>及相关材料</w:t>
      </w:r>
      <w:r>
        <w:rPr>
          <w:rFonts w:ascii="仿宋_GB2312" w:eastAsia="仿宋_GB2312" w:cs="仿宋_GB2312" w:hAnsi="仿宋_GB2312" w:hint="eastAsia"/>
          <w:color w:val="000000"/>
          <w:kern w:val="0"/>
          <w:sz w:val="32"/>
          <w:szCs w:val="32"/>
        </w:rPr>
        <w:t>收悉。</w:t>
      </w:r>
      <w:r>
        <w:rPr>
          <w:rFonts w:ascii="仿宋_GB2312" w:eastAsia="仿宋_GB2312" w:cs="仿宋_GB2312" w:hAnsi="仿宋_GB2312" w:hint="eastAsia"/>
          <w:color w:val="auto"/>
          <w:sz w:val="32"/>
          <w:szCs w:val="32"/>
        </w:rPr>
        <w:t>结合</w:t>
      </w:r>
      <w:r>
        <w:rPr>
          <w:rFonts w:ascii="仿宋_GB2312" w:eastAsia="仿宋_GB2312" w:cs="仿宋_GB2312" w:hAnsi="仿宋_GB2312" w:hint="eastAsia"/>
          <w:color w:val="auto"/>
          <w:kern w:val="0"/>
          <w:sz w:val="32"/>
          <w:szCs w:val="32"/>
          <w:lang w:val="en-US" w:eastAsia="zh-CN"/>
        </w:rPr>
        <w:t>环境影响</w:t>
      </w:r>
      <w:r>
        <w:rPr>
          <w:rFonts w:ascii="仿宋_GB2312" w:eastAsia="仿宋_GB2312" w:cs="仿宋_GB2312" w:hAnsi="仿宋_GB2312" w:hint="eastAsia"/>
          <w:color w:val="auto"/>
          <w:kern w:val="0"/>
          <w:sz w:val="32"/>
          <w:szCs w:val="32"/>
        </w:rPr>
        <w:t>报告</w:t>
      </w:r>
      <w:r>
        <w:rPr>
          <w:rFonts w:ascii="仿宋_GB2312" w:eastAsia="仿宋_GB2312" w:cs="仿宋_GB2312" w:hAnsi="仿宋_GB2312" w:hint="eastAsia"/>
          <w:color w:val="auto"/>
          <w:kern w:val="0"/>
          <w:sz w:val="32"/>
          <w:szCs w:val="32"/>
          <w:lang w:val="en-US" w:eastAsia="zh-CN"/>
        </w:rPr>
        <w:t>表</w:t>
      </w:r>
      <w:r>
        <w:rPr>
          <w:rFonts w:ascii="仿宋_GB2312" w:eastAsia="仿宋_GB2312" w:cs="仿宋_GB2312" w:hAnsi="仿宋_GB2312" w:hint="eastAsia"/>
          <w:color w:val="auto"/>
          <w:kern w:val="0"/>
          <w:sz w:val="32"/>
          <w:szCs w:val="32"/>
        </w:rPr>
        <w:t>结论、专家意见</w:t>
      </w:r>
      <w:r>
        <w:rPr>
          <w:rFonts w:ascii="仿宋_GB2312" w:eastAsia="仿宋_GB2312" w:cs="仿宋_GB2312" w:hAnsi="仿宋_GB2312" w:hint="eastAsia"/>
          <w:color w:val="auto"/>
          <w:kern w:val="0"/>
          <w:sz w:val="32"/>
          <w:szCs w:val="32"/>
          <w:lang w:val="en-US" w:eastAsia="zh-CN"/>
        </w:rPr>
        <w:t>、项目</w:t>
      </w:r>
      <w:r>
        <w:rPr>
          <w:rFonts w:ascii="仿宋_GB2312" w:eastAsia="仿宋_GB2312" w:cs="仿宋_GB2312" w:hAnsi="仿宋_GB2312" w:hint="eastAsia"/>
          <w:color w:val="auto"/>
          <w:kern w:val="0"/>
          <w:sz w:val="32"/>
          <w:szCs w:val="32"/>
        </w:rPr>
        <w:t>环境影响特点及</w:t>
      </w:r>
      <w:r>
        <w:rPr>
          <w:rFonts w:ascii="仿宋_GB2312" w:eastAsia="仿宋_GB2312" w:cs="仿宋_GB2312" w:hAnsi="仿宋_GB2312" w:hint="eastAsia"/>
          <w:color w:val="auto"/>
          <w:kern w:val="0"/>
          <w:sz w:val="32"/>
          <w:szCs w:val="32"/>
          <w:lang w:val="en-US" w:eastAsia="zh-CN"/>
        </w:rPr>
        <w:t>公示反馈等方面情况</w:t>
      </w:r>
      <w:r>
        <w:rPr>
          <w:rFonts w:ascii="仿宋_GB2312" w:eastAsia="仿宋_GB2312" w:cs="仿宋_GB2312" w:hAnsi="仿宋_GB2312" w:hint="eastAsia"/>
          <w:color w:val="auto"/>
          <w:kern w:val="0"/>
          <w:sz w:val="32"/>
          <w:szCs w:val="32"/>
        </w:rPr>
        <w:t xml:space="preserve">，经研究，现批复如下： </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Chars="200" w:firstLine="640"/>
        <w:textAlignment w:val="auto"/>
        <w:rPr>
          <w:rFonts w:ascii="仿宋_GB2312" w:eastAsia="仿宋_GB2312" w:cs="仿宋_GB2312" w:hAnsi="仿宋_GB2312" w:hint="eastAsia"/>
          <w:color w:val="000000"/>
          <w:kern w:val="0"/>
          <w:sz w:val="32"/>
          <w:szCs w:val="32"/>
        </w:rPr>
      </w:pPr>
      <w:r>
        <w:rPr>
          <w:rFonts w:ascii="仿宋_GB2312" w:eastAsia="仿宋_GB2312" w:cs="仿宋_GB2312" w:hAnsi="仿宋_GB2312" w:hint="eastAsia"/>
          <w:color w:val="000000"/>
          <w:kern w:val="0"/>
          <w:sz w:val="32"/>
          <w:szCs w:val="32"/>
          <w:lang w:eastAsia="zh-CN"/>
        </w:rPr>
        <w:t>一、</w:t>
      </w:r>
      <w:r>
        <w:rPr>
          <w:rFonts w:ascii="仿宋_GB2312" w:eastAsia="仿宋_GB2312" w:cs="仿宋_GB2312" w:hAnsi="仿宋_GB2312" w:hint="eastAsia"/>
          <w:color w:val="000000"/>
          <w:kern w:val="0"/>
          <w:sz w:val="32"/>
          <w:szCs w:val="32"/>
        </w:rPr>
        <w:t>项目建设内容和总体要求</w:t>
      </w:r>
    </w:p>
    <w:p>
      <w:pPr>
        <w:keepNext w:val="0"/>
        <w:keepLines w:val="0"/>
        <w:pageBreakBefore w:val="0"/>
        <w:widowControl/>
        <w:suppressLineNumbers w:val="0"/>
        <w:kinsoku/>
        <w:wordWrap/>
        <w:overflowPunct/>
        <w:topLinePunct w:val="0"/>
        <w:autoSpaceDE/>
        <w:autoSpaceDN/>
        <w:bidi w:val="0"/>
        <w:spacing w:line="560" w:lineRule="exact"/>
        <w:ind w:firstLineChars="200" w:firstLine="640"/>
        <w:jc w:val="left"/>
        <w:textAlignment w:val="auto"/>
        <w:rPr>
          <w:rFonts w:ascii="仿宋_GB2312" w:eastAsia="仿宋_GB2312" w:cs="仿宋_GB2312" w:hAnsi="仿宋_GB2312" w:hint="eastAsia"/>
          <w:b w:val="0"/>
          <w:bCs w:val="0"/>
          <w:color w:val="auto"/>
          <w:sz w:val="32"/>
          <w:szCs w:val="32"/>
          <w:lang w:val="en-US" w:eastAsia="zh-CN"/>
        </w:rPr>
      </w:pPr>
      <w:r>
        <w:rPr>
          <w:rFonts w:ascii="仿宋_GB2312" w:eastAsia="仿宋_GB2312" w:cs="仿宋_GB2312" w:hAnsi="仿宋_GB2312" w:hint="eastAsia"/>
          <w:sz w:val="32"/>
          <w:szCs w:val="32"/>
        </w:rPr>
        <w:t>该项目位于河北省</w:t>
      </w:r>
      <w:r>
        <w:rPr>
          <w:rFonts w:ascii="仿宋_GB2312" w:eastAsia="仿宋_GB2312" w:cs="仿宋_GB2312" w:hAnsi="仿宋_GB2312" w:hint="eastAsia"/>
          <w:color w:val="auto"/>
          <w:sz w:val="32"/>
          <w:szCs w:val="32"/>
          <w:lang w:val="en-US" w:eastAsia="zh-CN"/>
        </w:rPr>
        <w:t>秦皇岛市抚宁区抚宁镇下庄村秦皇岛骊拓建筑节能材料厂现有车间内</w:t>
      </w:r>
      <w:r>
        <w:rPr>
          <w:rFonts w:ascii="仿宋_GB2312" w:eastAsia="仿宋_GB2312" w:cs="仿宋_GB2312" w:hAnsi="仿宋_GB2312" w:hint="eastAsia"/>
          <w:sz w:val="32"/>
          <w:szCs w:val="32"/>
        </w:rPr>
        <w:t>，为</w:t>
      </w:r>
      <w:r>
        <w:rPr>
          <w:rFonts w:ascii="仿宋_GB2312" w:eastAsia="仿宋_GB2312" w:cs="仿宋_GB2312" w:hAnsi="仿宋_GB2312" w:hint="eastAsia"/>
          <w:color w:val="auto"/>
          <w:sz w:val="32"/>
          <w:szCs w:val="32"/>
          <w:lang w:val="en-US" w:eastAsia="zh-CN"/>
        </w:rPr>
        <w:t>改建</w:t>
      </w:r>
      <w:r>
        <w:rPr>
          <w:rFonts w:ascii="仿宋_GB2312" w:eastAsia="仿宋_GB2312" w:cs="仿宋_GB2312" w:hAnsi="仿宋_GB2312" w:hint="eastAsia"/>
          <w:sz w:val="32"/>
          <w:szCs w:val="32"/>
        </w:rPr>
        <w:t>项目，</w:t>
      </w:r>
      <w:r>
        <w:rPr>
          <w:rFonts w:ascii="仿宋_GB2312" w:eastAsia="仿宋_GB2312" w:cs="仿宋_GB2312" w:hAnsi="仿宋_GB2312" w:hint="eastAsia"/>
          <w:color w:val="auto"/>
          <w:sz w:val="32"/>
          <w:szCs w:val="32"/>
        </w:rPr>
        <w:t>项目主要建设内容：</w:t>
      </w:r>
      <w:r>
        <w:rPr>
          <w:rFonts w:ascii="仿宋_GB2312" w:eastAsia="仿宋_GB2312" w:cs="仿宋_GB2312" w:hAnsi="仿宋_GB2312" w:hint="eastAsia"/>
          <w:color w:val="auto"/>
          <w:sz w:val="32"/>
          <w:szCs w:val="32"/>
          <w:lang w:val="en-US" w:eastAsia="zh-CN"/>
        </w:rPr>
        <w:t>本项目不新增建设用地，在机制砂车间新增洗砂机及水处理设施、压滤机等辅助设施，同时更换筛分机筛网，改造完成后年产砂石骨料15万吨。本项目建设完成后产能不新增。</w:t>
      </w:r>
      <w:r>
        <w:rPr>
          <w:rFonts w:ascii="仿宋_GB2312" w:eastAsia="仿宋_GB2312" w:cs="仿宋_GB2312" w:hAnsi="仿宋_GB2312" w:hint="eastAsia"/>
          <w:b w:val="0"/>
          <w:bCs w:val="0"/>
          <w:color w:val="auto"/>
          <w:sz w:val="32"/>
          <w:szCs w:val="32"/>
          <w:lang w:eastAsia="zh-CN"/>
        </w:rPr>
        <w:t>项目总投资为200万元，其中环保投资10万元，占总投资的5%。</w:t>
      </w:r>
    </w:p>
    <w:p>
      <w:pPr>
        <w:keepNext w:val="0"/>
        <w:keepLines w:val="0"/>
        <w:pageBreakBefore w:val="0"/>
        <w:widowControl/>
        <w:suppressLineNumbers w:val="0"/>
        <w:kinsoku/>
        <w:wordWrap/>
        <w:overflowPunct/>
        <w:topLinePunct w:val="0"/>
        <w:autoSpaceDE/>
        <w:autoSpaceDN/>
        <w:bidi w:val="0"/>
        <w:spacing w:line="560" w:lineRule="exact"/>
        <w:ind w:firstLineChars="200" w:firstLine="640"/>
        <w:jc w:val="left"/>
        <w:textAlignment w:val="auto"/>
        <w:rPr>
          <w:rFonts w:ascii="仿宋_GB2312" w:eastAsia="仿宋_GB2312" w:cs="仿宋_GB2312" w:hAnsi="仿宋_GB2312" w:hint="eastAsia"/>
          <w:b w:val="0"/>
          <w:bCs w:val="0"/>
          <w:color w:val="FF0000"/>
          <w:kern w:val="0"/>
          <w:sz w:val="32"/>
          <w:szCs w:val="32"/>
        </w:rPr>
      </w:pPr>
      <w:r>
        <w:rPr>
          <w:rFonts w:ascii="仿宋_GB2312" w:eastAsia="仿宋_GB2312" w:cs="仿宋_GB2312" w:hAnsi="仿宋_GB2312" w:hint="eastAsia"/>
          <w:b w:val="0"/>
          <w:bCs w:val="0"/>
          <w:kern w:val="0"/>
          <w:sz w:val="32"/>
          <w:szCs w:val="32"/>
        </w:rPr>
        <w:t>项目不属于《产业结构调整指导目录》（2024年本）限制、淘汰类；</w:t>
      </w:r>
      <w:r>
        <w:rPr>
          <w:rFonts w:ascii="仿宋_GB2312" w:eastAsia="仿宋_GB2312" w:cs="仿宋_GB2312" w:hAnsi="仿宋_GB2312" w:hint="eastAsia"/>
          <w:b w:val="0"/>
          <w:bCs w:val="0"/>
          <w:sz w:val="32"/>
          <w:szCs w:val="32"/>
        </w:rPr>
        <w:t>不属于</w:t>
      </w:r>
      <w:r>
        <w:rPr>
          <w:rFonts w:ascii="仿宋_GB2312" w:eastAsia="仿宋_GB2312" w:cs="仿宋_GB2312" w:hAnsi="仿宋_GB2312" w:hint="eastAsia"/>
          <w:b w:val="0"/>
          <w:bCs w:val="0"/>
          <w:kern w:val="0"/>
          <w:sz w:val="32"/>
          <w:szCs w:val="32"/>
        </w:rPr>
        <w:t>河北省发展和改革委员会《关于加强新建“两高”项目管理的通知》（冀发改环资〔2022〕691号）中的“两高”项目；不属于《市场准入负面清单（2025年版）》中禁止准入类</w:t>
      </w:r>
      <w:r>
        <w:rPr>
          <w:rFonts w:ascii="仿宋_GB2312" w:eastAsia="仿宋_GB2312" w:cs="仿宋_GB2312" w:hAnsi="仿宋_GB2312" w:hint="eastAsia"/>
          <w:b w:val="0"/>
          <w:bCs w:val="0"/>
          <w:color w:val="auto"/>
          <w:kern w:val="0"/>
          <w:sz w:val="32"/>
          <w:szCs w:val="32"/>
        </w:rPr>
        <w:t>。该项目已通过</w:t>
      </w:r>
      <w:r>
        <w:rPr>
          <w:rFonts w:ascii="仿宋_GB2312" w:eastAsia="仿宋_GB2312" w:cs="仿宋_GB2312" w:hAnsi="仿宋_GB2312" w:hint="eastAsia"/>
          <w:b w:val="0"/>
          <w:bCs w:val="0"/>
          <w:color w:val="auto"/>
          <w:sz w:val="32"/>
          <w:szCs w:val="32"/>
          <w:lang w:val="en-US" w:eastAsia="zh-CN"/>
        </w:rPr>
        <w:t>秦皇岛市抚宁区行政审批局</w:t>
      </w:r>
      <w:r>
        <w:rPr>
          <w:rFonts w:ascii="仿宋_GB2312" w:eastAsia="仿宋_GB2312" w:cs="仿宋_GB2312" w:hAnsi="仿宋_GB2312" w:hint="eastAsia"/>
          <w:b w:val="0"/>
          <w:bCs w:val="0"/>
          <w:color w:val="auto"/>
          <w:kern w:val="0"/>
          <w:sz w:val="32"/>
          <w:szCs w:val="32"/>
        </w:rPr>
        <w:t>备案,</w:t>
      </w:r>
      <w:r>
        <w:rPr>
          <w:rFonts w:ascii="仿宋_GB2312" w:eastAsia="仿宋_GB2312" w:cs="仿宋_GB2312" w:hAnsi="仿宋_GB2312" w:hint="eastAsia"/>
          <w:b w:val="0"/>
          <w:bCs w:val="0"/>
          <w:color w:val="auto"/>
          <w:sz w:val="32"/>
          <w:szCs w:val="32"/>
          <w:highlight w:val="auto"/>
        </w:rPr>
        <w:t>备案编号:</w:t>
      </w:r>
      <w:r>
        <w:rPr>
          <w:rFonts w:ascii="仿宋_GB2312" w:eastAsia="仿宋_GB2312" w:cs="仿宋_GB2312" w:hAnsi="仿宋_GB2312" w:hint="eastAsia"/>
          <w:b w:val="0"/>
          <w:bCs w:val="0"/>
          <w:color w:val="auto"/>
          <w:sz w:val="32"/>
          <w:szCs w:val="32"/>
          <w:lang w:val="en-US" w:eastAsia="zh-CN"/>
        </w:rPr>
        <w:t>抚行审备〔2025〕164号</w:t>
      </w:r>
      <w:r>
        <w:rPr>
          <w:rFonts w:ascii="仿宋_GB2312" w:eastAsia="仿宋_GB2312" w:cs="仿宋_GB2312" w:hAnsi="仿宋_GB2312" w:hint="eastAsia"/>
          <w:b w:val="0"/>
          <w:bCs w:val="0"/>
          <w:color w:val="auto"/>
          <w:kern w:val="0"/>
          <w:sz w:val="32"/>
          <w:szCs w:val="32"/>
          <w:lang w:val="en-US" w:eastAsia="zh-CN"/>
        </w:rPr>
        <w:t>。</w:t>
      </w:r>
    </w:p>
    <w:p>
      <w:pPr>
        <w:keepNext w:val="0"/>
        <w:keepLines w:val="0"/>
        <w:pageBreakBefore w:val="0"/>
        <w:widowControl w:val="0"/>
        <w:kinsoku/>
        <w:wordWrap/>
        <w:overflowPunct/>
        <w:topLinePunct w:val="0"/>
        <w:autoSpaceDE/>
        <w:autoSpaceDN/>
        <w:bidi w:val="0"/>
        <w:snapToGrid w:val="0"/>
        <w:spacing w:line="560" w:lineRule="exact"/>
        <w:ind w:right="0" w:firstLineChars="200" w:firstLine="640"/>
        <w:textAlignment w:val="auto"/>
        <w:rPr>
          <w:rFonts w:ascii="仿宋_GB2312" w:eastAsia="仿宋_GB2312" w:cs="仿宋_GB2312" w:hAnsi="仿宋_GB2312" w:hint="eastAsia"/>
          <w:color w:val="000000"/>
          <w:kern w:val="0"/>
          <w:sz w:val="32"/>
          <w:szCs w:val="32"/>
        </w:rPr>
      </w:pPr>
      <w:r>
        <w:rPr>
          <w:rFonts w:ascii="仿宋_GB2312" w:eastAsia="仿宋_GB2312" w:cs="仿宋_GB2312" w:hAnsi="仿宋_GB2312" w:hint="eastAsia"/>
          <w:color w:val="000000"/>
          <w:kern w:val="0"/>
          <w:sz w:val="32"/>
          <w:szCs w:val="32"/>
        </w:rPr>
        <w:t>该《报告表》已通过河北超泰环保科技有限公司评估，结合评估意见（</w:t>
      </w:r>
      <w:r>
        <w:rPr>
          <w:rFonts w:ascii="仿宋_GB2312" w:eastAsia="仿宋_GB2312" w:cs="仿宋_GB2312" w:hAnsi="仿宋_GB2312" w:hint="eastAsia"/>
          <w:b w:val="0"/>
          <w:bCs/>
          <w:color w:val="auto"/>
          <w:sz w:val="32"/>
          <w:szCs w:val="32"/>
          <w:lang w:eastAsia="zh-CN"/>
          <w:highlight w:val="auto"/>
        </w:rPr>
        <w:t>超泰</w:t>
      </w:r>
      <w:r>
        <w:rPr>
          <w:rFonts w:ascii="仿宋_GB2312" w:eastAsia="仿宋_GB2312" w:cs="仿宋_GB2312" w:hAnsi="仿宋_GB2312" w:hint="eastAsia"/>
          <w:b w:val="0"/>
          <w:bCs/>
          <w:color w:val="auto"/>
          <w:sz w:val="32"/>
          <w:szCs w:val="32"/>
          <w:highlight w:val="auto"/>
        </w:rPr>
        <w:t>环评</w:t>
      </w:r>
      <w:r>
        <w:rPr>
          <w:rFonts w:ascii="仿宋_GB2312" w:eastAsia="仿宋_GB2312" w:cs="仿宋_GB2312" w:hAnsi="仿宋_GB2312" w:hint="eastAsia"/>
          <w:color w:val="000000"/>
          <w:kern w:val="0"/>
          <w:sz w:val="32"/>
          <w:szCs w:val="32"/>
        </w:rPr>
        <w:t>［202</w:t>
      </w:r>
      <w:r>
        <w:rPr>
          <w:rFonts w:ascii="仿宋_GB2312" w:eastAsia="仿宋_GB2312" w:cs="仿宋_GB2312" w:hAnsi="仿宋_GB2312"/>
          <w:color w:val="000000"/>
          <w:kern w:val="0"/>
          <w:sz w:val="32"/>
          <w:szCs w:val="32"/>
          <w:lang w:val="en-US"/>
        </w:rPr>
        <w:t>5</w:t>
      </w:r>
      <w:r>
        <w:rPr>
          <w:rFonts w:ascii="仿宋_GB2312" w:eastAsia="仿宋_GB2312" w:cs="仿宋_GB2312" w:hAnsi="仿宋_GB2312" w:hint="eastAsia"/>
          <w:color w:val="000000"/>
          <w:kern w:val="0"/>
          <w:sz w:val="32"/>
          <w:szCs w:val="32"/>
        </w:rPr>
        <w:t>］0</w:t>
      </w:r>
      <w:r>
        <w:rPr>
          <w:rFonts w:ascii="仿宋_GB2312" w:eastAsia="仿宋_GB2312" w:cs="仿宋_GB2312" w:hAnsi="仿宋_GB2312"/>
          <w:color w:val="000000"/>
          <w:kern w:val="0"/>
          <w:sz w:val="32"/>
          <w:szCs w:val="32"/>
          <w:lang w:val="en-US"/>
        </w:rPr>
        <w:t>34</w:t>
      </w:r>
      <w:r>
        <w:rPr>
          <w:rFonts w:ascii="仿宋_GB2312" w:eastAsia="仿宋_GB2312" w:cs="仿宋_GB2312" w:hAnsi="仿宋_GB2312" w:hint="eastAsia"/>
          <w:color w:val="000000"/>
          <w:kern w:val="0"/>
          <w:sz w:val="32"/>
          <w:szCs w:val="32"/>
        </w:rPr>
        <w:t>号）</w:t>
      </w:r>
      <w:r>
        <w:rPr>
          <w:rFonts w:ascii="仿宋_GB2312" w:eastAsia="仿宋_GB2312" w:cs="仿宋_GB2312" w:hAnsi="仿宋_GB2312" w:hint="eastAsia"/>
          <w:color w:val="000000"/>
          <w:kern w:val="0"/>
          <w:sz w:val="32"/>
          <w:szCs w:val="32"/>
          <w:lang w:eastAsia="zh-CN"/>
        </w:rPr>
        <w:t>及</w:t>
      </w:r>
      <w:r>
        <w:rPr>
          <w:rFonts w:ascii="仿宋_GB2312" w:eastAsia="仿宋_GB2312" w:cs="仿宋_GB2312" w:hAnsi="仿宋_GB2312" w:hint="eastAsia"/>
          <w:color w:val="000000"/>
          <w:kern w:val="0"/>
          <w:sz w:val="32"/>
          <w:szCs w:val="32"/>
        </w:rPr>
        <w:t>公示反馈情况，在项目符合国家和地方产业政策，选址符合用地规划及环境保护功能区划以及全面落实环境影响报告表提出的各项污染防治措施后，工程建设对环境的不利影响能够得到减缓和控制。我局原则同意环境影响报告表中所列建设项目的地点、性质、规模、工艺和拟采取的环境保护措施。</w:t>
      </w:r>
    </w:p>
    <w:p>
      <w:pPr>
        <w:keepNext w:val="0"/>
        <w:keepLines w:val="0"/>
        <w:pageBreakBefore w:val="0"/>
        <w:widowControl w:val="0"/>
        <w:kinsoku/>
        <w:wordWrap/>
        <w:overflowPunct/>
        <w:topLinePunct w:val="0"/>
        <w:autoSpaceDE/>
        <w:autoSpaceDN/>
        <w:bidi w:val="0"/>
        <w:snapToGrid w:val="0"/>
        <w:spacing w:line="560" w:lineRule="exact"/>
        <w:ind w:left="0" w:right="0" w:firstLineChars="200" w:firstLine="640"/>
        <w:jc w:val="left"/>
        <w:textAlignment w:val="auto"/>
        <w:rPr>
          <w:rFonts w:ascii="仿宋_GB2312" w:eastAsia="仿宋_GB2312" w:cs="仿宋_GB2312" w:hAnsi="仿宋_GB2312" w:hint="eastAsia"/>
          <w:color w:val="000000"/>
          <w:kern w:val="0"/>
          <w:sz w:val="32"/>
          <w:szCs w:val="32"/>
        </w:rPr>
      </w:pPr>
      <w:r>
        <w:rPr>
          <w:rFonts w:ascii="仿宋_GB2312" w:eastAsia="仿宋_GB2312" w:cs="仿宋_GB2312" w:hAnsi="仿宋_GB2312" w:hint="eastAsia"/>
          <w:color w:val="000000"/>
          <w:kern w:val="0"/>
          <w:sz w:val="32"/>
          <w:szCs w:val="32"/>
        </w:rPr>
        <w:t>二、项目须加强生产全过程管理，强化综合利用，降低能耗物耗，减少各种污染物的产生量和排放量。同时，你公司在项目建设和运行过程中要认真落实《报告表》提出的各项污染防治措施，确保各治污设施正常运行，各种污染物达标排放，各项环保设施设计应当由具有环保设施工程设计资质的单位承担，按照要求</w:t>
      </w:r>
      <w:r>
        <w:rPr>
          <w:rFonts w:ascii="仿宋_GB2312" w:eastAsia="仿宋_GB2312" w:cs="仿宋_GB2312" w:hAnsi="仿宋_GB2312" w:hint="eastAsia"/>
          <w:spacing w:val="-6"/>
          <w:sz w:val="32"/>
          <w:szCs w:val="32"/>
        </w:rPr>
        <w:t>认真落实各项污染防治措施，加强环保设施运营管理，确保满足相关要求，</w:t>
      </w:r>
      <w:r>
        <w:rPr>
          <w:rFonts w:ascii="仿宋_GB2312" w:eastAsia="仿宋_GB2312" w:cs="仿宋_GB2312" w:hAnsi="仿宋_GB2312" w:hint="eastAsia"/>
          <w:color w:val="000000"/>
          <w:kern w:val="0"/>
          <w:sz w:val="32"/>
          <w:szCs w:val="32"/>
        </w:rPr>
        <w:t>并重点做好以下工作：</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Chars="200" w:firstLine="616"/>
        <w:textAlignment w:val="auto"/>
        <w:rPr>
          <w:rFonts w:ascii="仿宋_GB2312" w:eastAsia="仿宋_GB2312" w:cs="仿宋_GB2312" w:hAnsi="仿宋_GB2312" w:hint="eastAsia"/>
          <w:color w:val="000000"/>
          <w:spacing w:val="-6"/>
          <w:sz w:val="32"/>
          <w:szCs w:val="32"/>
        </w:rPr>
      </w:pPr>
      <w:r>
        <w:rPr>
          <w:rFonts w:ascii="仿宋_GB2312" w:eastAsia="仿宋_GB2312" w:cs="仿宋_GB2312" w:hAnsi="仿宋_GB2312" w:hint="eastAsia"/>
          <w:color w:val="000000"/>
          <w:spacing w:val="-6"/>
          <w:sz w:val="32"/>
          <w:szCs w:val="32"/>
          <w:lang w:eastAsia="zh-CN"/>
        </w:rPr>
        <w:t>（一）</w:t>
      </w:r>
      <w:r>
        <w:rPr>
          <w:rFonts w:ascii="仿宋_GB2312" w:eastAsia="仿宋_GB2312" w:cs="仿宋_GB2312" w:hAnsi="仿宋_GB2312" w:hint="eastAsia"/>
          <w:color w:val="000000"/>
          <w:spacing w:val="-6"/>
          <w:sz w:val="32"/>
          <w:szCs w:val="32"/>
        </w:rPr>
        <w:t>加强施工期环境管理，减少施工对环境的影响</w:t>
      </w:r>
    </w:p>
    <w:p>
      <w:pPr>
        <w:keepNext w:val="0"/>
        <w:keepLines w:val="0"/>
        <w:pageBreakBefore w:val="0"/>
        <w:widowControl w:val="0"/>
        <w:kinsoku/>
        <w:overflowPunct/>
        <w:topLinePunct w:val="0"/>
        <w:autoSpaceDE/>
        <w:autoSpaceDN/>
        <w:bidi w:val="0"/>
        <w:spacing w:line="560" w:lineRule="exact"/>
        <w:textAlignment w:val="auto"/>
        <w:rPr>
          <w:rFonts w:ascii="仿宋_GB2312" w:eastAsia="仿宋_GB2312" w:cs="仿宋_GB2312" w:hAnsi="仿宋_GB2312" w:hint="eastAsia"/>
          <w:color w:val="auto"/>
          <w:spacing w:val="-6"/>
          <w:sz w:val="32"/>
          <w:szCs w:val="32"/>
        </w:rPr>
      </w:pPr>
      <w:r>
        <w:rPr>
          <w:rFonts w:ascii="仿宋_GB2312" w:eastAsia="仿宋_GB2312" w:cs="仿宋_GB2312" w:hAnsi="仿宋_GB2312"/>
          <w:color w:val="000000"/>
          <w:spacing w:val="-6"/>
          <w:sz w:val="32"/>
          <w:szCs w:val="32"/>
        </w:rPr>
        <w:t xml:space="preserve">  </w:t>
      </w:r>
      <w:r>
        <w:rPr>
          <w:rFonts w:ascii="仿宋_GB2312" w:eastAsia="仿宋_GB2312" w:cs="仿宋_GB2312" w:hAnsi="仿宋_GB2312"/>
          <w:color w:val="auto"/>
          <w:spacing w:val="-6"/>
          <w:sz w:val="32"/>
          <w:szCs w:val="32"/>
        </w:rPr>
        <w:t xml:space="preserve">  </w:t>
      </w:r>
      <w:r>
        <w:rPr>
          <w:rFonts w:ascii="仿宋_GB2312" w:eastAsia="仿宋_GB2312" w:cs="仿宋_GB2312" w:hAnsi="仿宋_GB2312" w:hint="eastAsia"/>
          <w:color w:val="auto"/>
          <w:spacing w:val="-6"/>
          <w:sz w:val="32"/>
          <w:szCs w:val="32"/>
        </w:rPr>
        <w:t>1</w:t>
      </w:r>
      <w:r>
        <w:rPr>
          <w:rFonts w:ascii="仿宋_GB2312" w:eastAsia="仿宋_GB2312" w:cs="仿宋_GB2312" w:hAnsi="仿宋_GB2312" w:hint="eastAsia"/>
          <w:color w:val="auto"/>
          <w:spacing w:val="-6"/>
          <w:sz w:val="32"/>
          <w:szCs w:val="32"/>
          <w:lang w:val="en-US" w:eastAsia="zh-CN"/>
        </w:rPr>
        <w:t>.</w:t>
      </w:r>
      <w:r>
        <w:rPr>
          <w:rFonts w:ascii="仿宋_GB2312" w:eastAsia="仿宋_GB2312" w:cs="仿宋_GB2312" w:hAnsi="仿宋_GB2312" w:hint="eastAsia"/>
          <w:color w:val="auto"/>
          <w:spacing w:val="-6"/>
          <w:sz w:val="32"/>
          <w:szCs w:val="32"/>
        </w:rPr>
        <w:t>建设及施工单位要严格执行《中共秦皇岛市委秦皇岛市人民政府关于强力推进大气污染综合治理的实施意见》、《秦皇岛市扬尘综合整治专项实施方案》和《河北省扬尘污染防治办法》中有关施工扬尘的管理规定，同时结合《防治城市扬尘污染技术规范》(HJ/T393-2007)及同类施工场地采取的抑尘措施，落实各项控制扬尘污染措施，施工场地扬尘排放执行《施工场地扬尘排放标准》（DB13/2934-2019）的要求。施工</w:t>
      </w:r>
      <w:r>
        <w:rPr>
          <w:rFonts w:ascii="仿宋_GB2312" w:eastAsia="仿宋_GB2312" w:cs="仿宋_GB2312" w:hAnsi="仿宋_GB2312" w:hint="eastAsia"/>
          <w:color w:val="auto"/>
          <w:spacing w:val="-6"/>
          <w:sz w:val="32"/>
          <w:szCs w:val="32"/>
          <w:lang w:eastAsia="zh-CN"/>
        </w:rPr>
        <w:t>人员生活废水</w:t>
      </w:r>
      <w:r>
        <w:rPr>
          <w:rFonts w:ascii="仿宋_GB2312" w:eastAsia="仿宋_GB2312" w:cs="仿宋_GB2312" w:hAnsi="仿宋_GB2312" w:hint="eastAsia"/>
          <w:color w:val="auto"/>
          <w:spacing w:val="-6"/>
          <w:sz w:val="32"/>
          <w:szCs w:val="32"/>
        </w:rPr>
        <w:t>依托公厕</w:t>
      </w:r>
      <w:r>
        <w:rPr>
          <w:rFonts w:ascii="仿宋_GB2312" w:eastAsia="仿宋_GB2312" w:cs="仿宋_GB2312" w:hAnsi="仿宋_GB2312"/>
          <w:color w:val="auto"/>
          <w:spacing w:val="-6"/>
          <w:sz w:val="32"/>
          <w:szCs w:val="32"/>
          <w:lang w:val="en-US"/>
        </w:rPr>
        <w:t>,</w:t>
      </w:r>
      <w:r>
        <w:rPr>
          <w:rFonts w:ascii="仿宋_GB2312" w:eastAsia="仿宋_GB2312" w:cs="仿宋_GB2312" w:hAnsi="仿宋_GB2312" w:hint="eastAsia"/>
          <w:color w:val="auto"/>
          <w:spacing w:val="-6"/>
          <w:sz w:val="32"/>
          <w:szCs w:val="32"/>
          <w:lang w:eastAsia="zh-CN"/>
        </w:rPr>
        <w:t>本项目</w:t>
      </w:r>
      <w:r>
        <w:rPr>
          <w:rFonts w:ascii="仿宋_GB2312" w:eastAsia="仿宋_GB2312" w:cs="仿宋_GB2312" w:hAnsi="仿宋_GB2312" w:hint="eastAsia"/>
          <w:color w:val="auto"/>
          <w:spacing w:val="-6"/>
          <w:sz w:val="32"/>
          <w:szCs w:val="32"/>
        </w:rPr>
        <w:t>采用低噪声施工机械，避免高噪声机械同时作业，合理安排施工时间及进度，禁止夜间施工，确需夜间施工的，提前到相关部门登记并告知周边村民，施工阶段作业噪声要满足《建筑施工场界环境噪声排放标准》(GB12523-2011)</w:t>
      </w:r>
      <w:r>
        <w:rPr>
          <w:rFonts w:ascii="仿宋_GB2312" w:eastAsia="仿宋_GB2312" w:cs="仿宋_GB2312" w:hAnsi="仿宋_GB2312" w:hint="eastAsia"/>
          <w:color w:val="auto"/>
          <w:spacing w:val="-6"/>
          <w:sz w:val="32"/>
          <w:szCs w:val="32"/>
          <w:lang w:eastAsia="zh-CN"/>
        </w:rPr>
        <w:t>中限值</w:t>
      </w:r>
      <w:r>
        <w:rPr>
          <w:rFonts w:ascii="仿宋_GB2312" w:eastAsia="仿宋_GB2312" w:cs="仿宋_GB2312" w:hAnsi="仿宋_GB2312" w:hint="eastAsia"/>
          <w:color w:val="auto"/>
          <w:spacing w:val="-6"/>
          <w:sz w:val="32"/>
          <w:szCs w:val="32"/>
        </w:rPr>
        <w:t>要求；施工期产生的生活垃圾由环卫部门统一收集处置</w:t>
      </w:r>
      <w:r>
        <w:rPr>
          <w:rFonts w:ascii="仿宋_GB2312" w:eastAsia="仿宋_GB2312" w:cs="仿宋_GB2312" w:hAnsi="仿宋_GB2312" w:hint="eastAsia"/>
          <w:color w:val="auto"/>
          <w:spacing w:val="-6"/>
          <w:sz w:val="32"/>
          <w:szCs w:val="32"/>
          <w:lang w:eastAsia="zh-CN"/>
        </w:rPr>
        <w:t>，</w:t>
      </w:r>
      <w:r>
        <w:rPr>
          <w:rFonts w:ascii="仿宋_GB2312" w:eastAsia="仿宋_GB2312" w:cs="仿宋_GB2312" w:hAnsi="仿宋_GB2312" w:hint="eastAsia"/>
          <w:color w:val="auto"/>
          <w:spacing w:val="-6"/>
          <w:sz w:val="32"/>
          <w:szCs w:val="32"/>
        </w:rPr>
        <w:t>建筑垃圾</w:t>
      </w:r>
      <w:r>
        <w:rPr>
          <w:rFonts w:ascii="仿宋_GB2312" w:eastAsia="仿宋_GB2312" w:cs="仿宋_GB2312" w:hAnsi="仿宋_GB2312" w:hint="eastAsia"/>
          <w:color w:val="auto"/>
          <w:spacing w:val="-6"/>
          <w:sz w:val="32"/>
          <w:szCs w:val="32"/>
          <w:lang w:eastAsia="zh-CN"/>
        </w:rPr>
        <w:t>须依法依规进行处置</w:t>
      </w:r>
      <w:r>
        <w:rPr>
          <w:rFonts w:ascii="仿宋_GB2312" w:eastAsia="仿宋_GB2312" w:cs="仿宋_GB2312" w:hAnsi="仿宋_GB2312" w:hint="eastAsia"/>
          <w:color w:val="auto"/>
          <w:spacing w:val="-6"/>
          <w:sz w:val="32"/>
          <w:szCs w:val="32"/>
        </w:rPr>
        <w:t>。</w:t>
      </w:r>
    </w:p>
    <w:p>
      <w:pPr>
        <w:keepNext w:val="0"/>
        <w:keepLines w:val="0"/>
        <w:pageBreakBefore w:val="0"/>
        <w:widowControl w:val="0"/>
        <w:kinsoku/>
        <w:wordWrap/>
        <w:overflowPunct/>
        <w:topLinePunct w:val="0"/>
        <w:autoSpaceDE/>
        <w:autoSpaceDN/>
        <w:bidi w:val="0"/>
        <w:snapToGrid w:val="0"/>
        <w:spacing w:line="560" w:lineRule="exact"/>
        <w:ind w:right="0" w:firstLineChars="200" w:firstLine="616"/>
        <w:textAlignment w:val="auto"/>
        <w:rPr>
          <w:rFonts w:ascii="仿宋_GB2312" w:eastAsia="仿宋_GB2312" w:cs="仿宋_GB2312" w:hAnsi="仿宋_GB2312" w:hint="eastAsia"/>
          <w:spacing w:val="-6"/>
          <w:sz w:val="32"/>
          <w:szCs w:val="32"/>
        </w:rPr>
      </w:pPr>
      <w:r>
        <w:rPr>
          <w:rFonts w:ascii="仿宋_GB2312" w:eastAsia="仿宋_GB2312" w:cs="仿宋_GB2312" w:hAnsi="仿宋_GB2312" w:hint="eastAsia"/>
          <w:spacing w:val="-6"/>
          <w:sz w:val="32"/>
          <w:szCs w:val="32"/>
        </w:rPr>
        <w:t>2</w:t>
      </w:r>
      <w:r>
        <w:rPr>
          <w:rFonts w:ascii="仿宋_GB2312" w:eastAsia="仿宋_GB2312" w:cs="仿宋_GB2312" w:hAnsi="仿宋_GB2312" w:hint="eastAsia"/>
          <w:spacing w:val="-6"/>
          <w:sz w:val="32"/>
          <w:szCs w:val="32"/>
          <w:lang w:val="en-US" w:eastAsia="zh-CN"/>
        </w:rPr>
        <w:t>.</w:t>
      </w:r>
      <w:r>
        <w:rPr>
          <w:rFonts w:ascii="仿宋_GB2312" w:eastAsia="仿宋_GB2312" w:cs="仿宋_GB2312" w:hAnsi="仿宋_GB2312" w:hint="eastAsia"/>
          <w:spacing w:val="-6"/>
          <w:sz w:val="32"/>
          <w:szCs w:val="32"/>
        </w:rPr>
        <w:t>加强防腐防渗措施。按《报告表》要求进行相应的防腐防渗施工。</w:t>
      </w:r>
    </w:p>
    <w:p>
      <w:pPr>
        <w:keepNext w:val="0"/>
        <w:keepLines w:val="0"/>
        <w:pageBreakBefore w:val="0"/>
        <w:widowControl w:val="0"/>
        <w:kinsoku/>
        <w:wordWrap/>
        <w:overflowPunct/>
        <w:topLinePunct w:val="0"/>
        <w:autoSpaceDE/>
        <w:autoSpaceDN/>
        <w:bidi w:val="0"/>
        <w:snapToGrid w:val="0"/>
        <w:spacing w:line="560" w:lineRule="exact"/>
        <w:ind w:right="0" w:firstLineChars="200" w:firstLine="616"/>
        <w:textAlignment w:val="auto"/>
        <w:rPr>
          <w:rFonts w:ascii="仿宋_GB2312" w:eastAsia="仿宋_GB2312" w:cs="仿宋_GB2312" w:hAnsi="仿宋_GB2312" w:hint="eastAsia"/>
          <w:spacing w:val="-6"/>
          <w:sz w:val="32"/>
          <w:szCs w:val="32"/>
        </w:rPr>
      </w:pPr>
      <w:r>
        <w:rPr>
          <w:rFonts w:ascii="仿宋_GB2312" w:eastAsia="仿宋_GB2312" w:cs="仿宋_GB2312" w:hAnsi="仿宋_GB2312" w:hint="eastAsia"/>
          <w:spacing w:val="-6"/>
          <w:sz w:val="32"/>
          <w:szCs w:val="32"/>
        </w:rPr>
        <w:t>（二）加强运营期环保设施管理，认真落实各项污染防治措施，确保满足相关要求。</w:t>
      </w:r>
    </w:p>
    <w:p>
      <w:pPr>
        <w:keepNext w:val="0"/>
        <w:keepLines w:val="0"/>
        <w:pageBreakBefore w:val="0"/>
        <w:widowControl w:val="0"/>
        <w:kinsoku/>
        <w:wordWrap/>
        <w:overflowPunct/>
        <w:topLinePunct w:val="0"/>
        <w:autoSpaceDE/>
        <w:autoSpaceDN/>
        <w:bidi w:val="0"/>
        <w:snapToGrid w:val="0"/>
        <w:spacing w:line="560" w:lineRule="exact"/>
        <w:ind w:right="0" w:firstLineChars="200" w:firstLine="616"/>
        <w:textAlignment w:val="auto"/>
        <w:rPr>
          <w:rFonts w:ascii="仿宋_GB2312" w:eastAsia="仿宋_GB2312" w:cs="仿宋_GB2312" w:hAnsi="仿宋_GB2312" w:hint="eastAsia"/>
          <w:spacing w:val="-6"/>
          <w:sz w:val="32"/>
          <w:szCs w:val="32"/>
        </w:rPr>
      </w:pPr>
      <w:r>
        <w:rPr>
          <w:rFonts w:ascii="仿宋_GB2312" w:eastAsia="仿宋_GB2312" w:cs="仿宋_GB2312" w:hAnsi="仿宋_GB2312" w:hint="eastAsia"/>
          <w:spacing w:val="-6"/>
          <w:sz w:val="32"/>
          <w:szCs w:val="32"/>
        </w:rPr>
        <w:t>1</w:t>
      </w:r>
      <w:r>
        <w:rPr>
          <w:rFonts w:ascii="仿宋_GB2312" w:eastAsia="仿宋_GB2312" w:cs="仿宋_GB2312" w:hAnsi="仿宋_GB2312" w:hint="eastAsia"/>
          <w:spacing w:val="-6"/>
          <w:sz w:val="32"/>
          <w:szCs w:val="32"/>
          <w:lang w:val="en-US" w:eastAsia="zh-CN"/>
        </w:rPr>
        <w:t>.</w:t>
      </w:r>
      <w:r>
        <w:rPr>
          <w:rFonts w:ascii="仿宋_GB2312" w:eastAsia="仿宋_GB2312" w:cs="仿宋_GB2312" w:hAnsi="仿宋_GB2312" w:hint="eastAsia"/>
          <w:spacing w:val="-6"/>
          <w:sz w:val="32"/>
          <w:szCs w:val="32"/>
        </w:rPr>
        <w:t>严格落实大气污染防治措施</w:t>
      </w:r>
    </w:p>
    <w:p>
      <w:pPr>
        <w:keepNext w:val="0"/>
        <w:keepLines w:val="0"/>
        <w:pageBreakBefore w:val="0"/>
        <w:widowControl w:val="0"/>
        <w:kinsoku/>
        <w:wordWrap/>
        <w:overflowPunct/>
        <w:topLinePunct w:val="0"/>
        <w:autoSpaceDE/>
        <w:autoSpaceDN/>
        <w:bidi w:val="0"/>
        <w:snapToGrid w:val="0"/>
        <w:spacing w:line="560" w:lineRule="exact"/>
        <w:ind w:right="0" w:firstLineChars="200" w:firstLine="616"/>
        <w:textAlignment w:val="auto"/>
        <w:rPr>
          <w:rFonts w:ascii="仿宋_GB2312" w:eastAsia="仿宋_GB2312" w:cs="仿宋_GB2312" w:hAnsi="仿宋_GB2312"/>
          <w:color w:val="auto"/>
          <w:spacing w:val="-6"/>
          <w:sz w:val="32"/>
          <w:szCs w:val="32"/>
          <w:lang w:eastAsia="zh-CN"/>
        </w:rPr>
      </w:pPr>
      <w:r>
        <w:rPr>
          <w:rFonts w:ascii="仿宋_GB2312" w:eastAsia="仿宋_GB2312" w:cs="仿宋_GB2312" w:hAnsi="仿宋_GB2312" w:hint="eastAsia"/>
          <w:color w:val="auto"/>
          <w:spacing w:val="-6"/>
          <w:sz w:val="32"/>
          <w:szCs w:val="32"/>
        </w:rPr>
        <w:t>（1）</w:t>
      </w:r>
      <w:r>
        <w:rPr>
          <w:rFonts w:ascii="仿宋_GB2312" w:eastAsia="仿宋_GB2312" w:cs="仿宋_GB2312" w:hAnsi="仿宋_GB2312"/>
          <w:color w:val="auto"/>
          <w:spacing w:val="-6"/>
          <w:sz w:val="32"/>
          <w:szCs w:val="32"/>
          <w:lang w:eastAsia="zh-CN"/>
        </w:rPr>
        <w:t>有组织废气</w:t>
      </w:r>
    </w:p>
    <w:p>
      <w:pPr>
        <w:keepNext w:val="0"/>
        <w:keepLines w:val="0"/>
        <w:pageBreakBefore w:val="0"/>
        <w:widowControl w:val="0"/>
        <w:kinsoku/>
        <w:wordWrap/>
        <w:overflowPunct/>
        <w:topLinePunct w:val="0"/>
        <w:autoSpaceDE/>
        <w:autoSpaceDN/>
        <w:bidi w:val="0"/>
        <w:snapToGrid w:val="0"/>
        <w:spacing w:line="560" w:lineRule="exact"/>
        <w:ind w:right="0" w:firstLineChars="200" w:firstLine="640"/>
        <w:textAlignment w:val="auto"/>
        <w:rPr>
          <w:rFonts w:ascii="仿宋_GB2312" w:eastAsia="仿宋_GB2312" w:cs="仿宋_GB2312" w:hAnsi="仿宋_GB2312"/>
          <w:color w:val="auto"/>
          <w:spacing w:val="-6"/>
          <w:sz w:val="32"/>
          <w:szCs w:val="32"/>
          <w:lang w:eastAsia="zh-CN"/>
        </w:rPr>
      </w:pPr>
      <w:r>
        <w:rPr>
          <w:rFonts w:ascii="仿宋_GB2312" w:eastAsia="仿宋_GB2312" w:cs="仿宋_GB2312" w:hAnsi="仿宋_GB2312" w:hint="eastAsia"/>
          <w:color w:val="auto"/>
          <w:sz w:val="32"/>
          <w:szCs w:val="32"/>
          <w:lang w:val="en-US" w:eastAsia="zh-CN"/>
        </w:rPr>
        <w:t>本项目在破碎机、筛分机进出料口设施喷雾抑尘装置，破碎、筛分产生的颗粒物分别经集气罩收集后采用1套布袋除尘器处理后经1根15m高排气筒（DA012）排放。</w:t>
      </w:r>
    </w:p>
    <w:p>
      <w:pPr>
        <w:keepNext w:val="0"/>
        <w:keepLines w:val="0"/>
        <w:pageBreakBefore w:val="0"/>
        <w:widowControl w:val="0"/>
        <w:kinsoku/>
        <w:wordWrap/>
        <w:overflowPunct/>
        <w:topLinePunct w:val="0"/>
        <w:autoSpaceDE/>
        <w:autoSpaceDN/>
        <w:bidi w:val="0"/>
        <w:snapToGrid w:val="0"/>
        <w:spacing w:line="560" w:lineRule="exact"/>
        <w:ind w:right="0" w:firstLineChars="200" w:firstLine="616"/>
        <w:textAlignment w:val="auto"/>
        <w:rPr>
          <w:rFonts w:ascii="仿宋_GB2312" w:eastAsia="仿宋_GB2312" w:cs="仿宋_GB2312" w:hAnsi="仿宋_GB2312"/>
          <w:color w:val="FF0000"/>
          <w:spacing w:val="-6"/>
          <w:sz w:val="32"/>
          <w:szCs w:val="32"/>
          <w:lang w:val="en-US" w:eastAsia="zh-CN"/>
        </w:rPr>
      </w:pPr>
      <w:r>
        <w:rPr>
          <w:rFonts w:ascii="仿宋_GB2312" w:eastAsia="仿宋_GB2312" w:cs="仿宋_GB2312" w:hAnsi="仿宋_GB2312"/>
          <w:color w:val="auto"/>
          <w:spacing w:val="-6"/>
          <w:sz w:val="32"/>
          <w:szCs w:val="32"/>
          <w:lang w:val="en-US" w:eastAsia="zh-CN"/>
        </w:rPr>
        <w:t>项目破碎、筛分产生的有组织颗粒物</w:t>
      </w:r>
      <w:r>
        <w:rPr>
          <w:rFonts w:ascii="仿宋_GB2312" w:eastAsia="仿宋_GB2312" w:cs="仿宋_GB2312" w:hAnsi="仿宋_GB2312" w:hint="eastAsia"/>
          <w:color w:val="auto"/>
          <w:spacing w:val="-6"/>
          <w:sz w:val="32"/>
          <w:szCs w:val="32"/>
          <w:lang w:val="en-US" w:eastAsia="zh-CN"/>
        </w:rPr>
        <w:t>须</w:t>
      </w:r>
      <w:r>
        <w:rPr>
          <w:rFonts w:ascii="仿宋_GB2312" w:eastAsia="仿宋_GB2312" w:cs="仿宋_GB2312" w:hAnsi="仿宋_GB2312"/>
          <w:color w:val="auto"/>
          <w:spacing w:val="-6"/>
          <w:sz w:val="32"/>
          <w:szCs w:val="32"/>
          <w:lang w:val="en-US" w:eastAsia="zh-CN"/>
        </w:rPr>
        <w:t>满足《石灰工业大气污染物排放标准》（DB13/1614-2025）表1排放限值要求</w:t>
      </w:r>
      <w:r>
        <w:rPr>
          <w:rFonts w:ascii="仿宋_GB2312" w:eastAsia="仿宋_GB2312" w:cs="仿宋_GB2312" w:hAnsi="仿宋_GB2312"/>
          <w:color w:val="FF0000"/>
          <w:spacing w:val="-6"/>
          <w:sz w:val="32"/>
          <w:szCs w:val="32"/>
          <w:lang w:val="en-US" w:eastAsia="zh-CN"/>
        </w:rPr>
        <w:t>。</w:t>
      </w:r>
    </w:p>
    <w:p>
      <w:pPr>
        <w:keepNext w:val="0"/>
        <w:keepLines w:val="0"/>
        <w:pageBreakBefore w:val="0"/>
        <w:widowControl w:val="0"/>
        <w:kinsoku/>
        <w:wordWrap/>
        <w:overflowPunct/>
        <w:topLinePunct w:val="0"/>
        <w:autoSpaceDE/>
        <w:autoSpaceDN/>
        <w:bidi w:val="0"/>
        <w:snapToGrid w:val="0"/>
        <w:spacing w:line="560" w:lineRule="exact"/>
        <w:ind w:right="0" w:firstLineChars="200" w:firstLine="616"/>
        <w:textAlignment w:val="auto"/>
        <w:rPr>
          <w:rFonts w:ascii="仿宋_GB2312" w:eastAsia="仿宋_GB2312" w:cs="仿宋_GB2312" w:hAnsi="仿宋_GB2312"/>
          <w:color w:val="auto"/>
          <w:spacing w:val="-6"/>
          <w:sz w:val="32"/>
          <w:szCs w:val="32"/>
          <w:lang w:val="en-US" w:eastAsia="zh-CN"/>
        </w:rPr>
      </w:pPr>
      <w:r>
        <w:rPr>
          <w:rFonts w:ascii="仿宋_GB2312" w:eastAsia="仿宋_GB2312" w:cs="仿宋_GB2312" w:hAnsi="仿宋_GB2312" w:hint="eastAsia"/>
          <w:color w:val="auto"/>
          <w:spacing w:val="-6"/>
          <w:sz w:val="32"/>
          <w:szCs w:val="32"/>
          <w:lang w:val="en-US" w:eastAsia="zh-CN"/>
        </w:rPr>
        <w:t>（</w:t>
      </w:r>
      <w:r>
        <w:rPr>
          <w:rFonts w:ascii="仿宋_GB2312" w:eastAsia="仿宋_GB2312" w:cs="仿宋_GB2312" w:hAnsi="仿宋_GB2312"/>
          <w:color w:val="auto"/>
          <w:spacing w:val="-6"/>
          <w:sz w:val="32"/>
          <w:szCs w:val="32"/>
          <w:lang w:val="en-US" w:eastAsia="zh-CN"/>
        </w:rPr>
        <w:t>2</w:t>
      </w:r>
      <w:r>
        <w:rPr>
          <w:rFonts w:ascii="仿宋_GB2312" w:eastAsia="仿宋_GB2312" w:cs="仿宋_GB2312" w:hAnsi="仿宋_GB2312" w:hint="eastAsia"/>
          <w:color w:val="auto"/>
          <w:spacing w:val="-6"/>
          <w:sz w:val="32"/>
          <w:szCs w:val="32"/>
          <w:lang w:val="en-US" w:eastAsia="zh-CN"/>
        </w:rPr>
        <w:t>）</w:t>
      </w:r>
      <w:r>
        <w:rPr>
          <w:rFonts w:ascii="仿宋_GB2312" w:eastAsia="仿宋_GB2312" w:cs="仿宋_GB2312" w:hAnsi="仿宋_GB2312"/>
          <w:color w:val="auto"/>
          <w:spacing w:val="-6"/>
          <w:sz w:val="32"/>
          <w:szCs w:val="32"/>
          <w:lang w:val="en-US" w:eastAsia="zh-CN"/>
        </w:rPr>
        <w:t>无组织废气</w:t>
      </w:r>
    </w:p>
    <w:p>
      <w:pPr>
        <w:keepNext w:val="0"/>
        <w:keepLines w:val="0"/>
        <w:pageBreakBefore w:val="0"/>
        <w:widowControl w:val="0"/>
        <w:kinsoku/>
        <w:wordWrap/>
        <w:overflowPunct/>
        <w:topLinePunct w:val="0"/>
        <w:autoSpaceDE/>
        <w:autoSpaceDN/>
        <w:bidi w:val="0"/>
        <w:snapToGrid w:val="0"/>
        <w:spacing w:line="560" w:lineRule="exact"/>
        <w:ind w:right="0" w:firstLineChars="200" w:firstLine="616"/>
        <w:textAlignment w:val="auto"/>
        <w:rPr>
          <w:rFonts w:ascii="仿宋_GB2312" w:eastAsia="仿宋_GB2312" w:cs="仿宋_GB2312" w:hAnsi="仿宋_GB2312" w:hint="eastAsia"/>
          <w:color w:val="auto"/>
          <w:spacing w:val="-6"/>
          <w:sz w:val="32"/>
          <w:szCs w:val="32"/>
          <w:lang w:val="en-US" w:eastAsia="zh-CN"/>
        </w:rPr>
      </w:pPr>
      <w:r>
        <w:rPr>
          <w:rFonts w:ascii="仿宋_GB2312" w:eastAsia="仿宋_GB2312" w:cs="仿宋_GB2312" w:hAnsi="仿宋_GB2312" w:hint="eastAsia"/>
          <w:color w:val="auto"/>
          <w:spacing w:val="-6"/>
          <w:sz w:val="32"/>
          <w:szCs w:val="32"/>
          <w:lang w:val="en-US" w:eastAsia="zh-CN"/>
        </w:rPr>
        <w:t>本项目</w:t>
      </w:r>
      <w:r>
        <w:rPr>
          <w:rFonts w:ascii="仿宋_GB2312" w:eastAsia="仿宋_GB2312" w:cs="仿宋_GB2312" w:hAnsi="仿宋_GB2312" w:hint="eastAsia"/>
          <w:sz w:val="32"/>
          <w:szCs w:val="32"/>
          <w:lang w:val="en-US" w:eastAsia="zh-CN"/>
        </w:rPr>
        <w:t>生产车间设置喷雾抑尘，项目物料输送位于封闭车间内，对皮带落料端进行喷淋，项目上料后自传送带送入破碎、筛分工序，生产中破碎、筛分工序伴随物料走向设备自带喷水设施，项目运输道路全部硬化、洒水抑尘、定期清扫等措施</w:t>
      </w:r>
      <w:r>
        <w:rPr>
          <w:rFonts w:ascii="仿宋_GB2312" w:eastAsia="仿宋_GB2312" w:cs="仿宋_GB2312" w:hAnsi="仿宋_GB2312" w:hint="eastAsia"/>
          <w:color w:val="auto"/>
          <w:spacing w:val="-6"/>
          <w:sz w:val="32"/>
          <w:szCs w:val="32"/>
          <w:lang w:val="en-US" w:eastAsia="zh-CN"/>
        </w:rPr>
        <w:t>。</w:t>
      </w:r>
    </w:p>
    <w:p>
      <w:pPr>
        <w:keepNext w:val="0"/>
        <w:keepLines w:val="0"/>
        <w:pageBreakBefore w:val="0"/>
        <w:widowControl w:val="0"/>
        <w:kinsoku/>
        <w:wordWrap/>
        <w:overflowPunct/>
        <w:topLinePunct w:val="0"/>
        <w:autoSpaceDE/>
        <w:autoSpaceDN/>
        <w:bidi w:val="0"/>
        <w:snapToGrid w:val="0"/>
        <w:spacing w:line="560" w:lineRule="exact"/>
        <w:ind w:right="0" w:firstLineChars="200" w:firstLine="616"/>
        <w:textAlignment w:val="auto"/>
        <w:rPr>
          <w:rFonts w:ascii="仿宋_GB2312" w:eastAsia="仿宋_GB2312" w:cs="仿宋_GB2312" w:hAnsi="仿宋_GB2312" w:hint="eastAsia"/>
          <w:color w:val="auto"/>
          <w:spacing w:val="-6"/>
          <w:sz w:val="32"/>
          <w:szCs w:val="32"/>
          <w:lang w:eastAsia="zh-CN"/>
        </w:rPr>
      </w:pPr>
      <w:r>
        <w:rPr>
          <w:rFonts w:ascii="仿宋_GB2312" w:eastAsia="仿宋_GB2312" w:cs="仿宋_GB2312" w:hAnsi="仿宋_GB2312"/>
          <w:color w:val="auto"/>
          <w:spacing w:val="-6"/>
          <w:sz w:val="32"/>
          <w:szCs w:val="32"/>
          <w:lang w:eastAsia="zh-CN"/>
        </w:rPr>
        <w:t>厂界无组织排放颗粒物浓度须满足</w:t>
      </w:r>
      <w:r>
        <w:rPr>
          <w:rFonts w:ascii="仿宋_GB2312" w:eastAsia="仿宋_GB2312" w:cs="仿宋_GB2312" w:hAnsi="仿宋_GB2312" w:hint="eastAsia"/>
          <w:color w:val="auto"/>
          <w:spacing w:val="-6"/>
          <w:sz w:val="32"/>
          <w:szCs w:val="32"/>
          <w:lang w:eastAsia="zh-CN"/>
        </w:rPr>
        <w:t>《大气污染物综合排放标准》（GB16297-1996）要求，同时满足《秦皇岛市人民政府办公室关于执行钢铁等行业大气污染物排放特别要求的通知》（[2021]-10）中工业企业厂界颗粒物无组织排放浓度特别管控要求；厂房外无组织颗粒物满足《石灰工业大气污染物排放标准》（DB 13/1641—2025）要求。</w:t>
      </w:r>
    </w:p>
    <w:p>
      <w:pPr>
        <w:keepNext w:val="0"/>
        <w:keepLines w:val="0"/>
        <w:pageBreakBefore w:val="0"/>
        <w:widowControl w:val="0"/>
        <w:kinsoku/>
        <w:wordWrap/>
        <w:overflowPunct/>
        <w:topLinePunct w:val="0"/>
        <w:autoSpaceDE/>
        <w:autoSpaceDN/>
        <w:bidi w:val="0"/>
        <w:snapToGrid w:val="0"/>
        <w:spacing w:line="560" w:lineRule="exact"/>
        <w:ind w:right="0" w:firstLineChars="200" w:firstLine="616"/>
        <w:textAlignment w:val="auto"/>
        <w:rPr>
          <w:rFonts w:ascii="仿宋_GB2312" w:eastAsia="仿宋_GB2312" w:cs="仿宋_GB2312" w:hAnsi="仿宋_GB2312" w:hint="eastAsia"/>
          <w:color w:val="auto"/>
          <w:sz w:val="32"/>
          <w:szCs w:val="32"/>
          <w:lang w:val="en-US" w:eastAsia="zh-CN"/>
          <w:highlight w:val="auto"/>
        </w:rPr>
      </w:pPr>
      <w:r>
        <w:rPr>
          <w:rFonts w:ascii="仿宋_GB2312" w:eastAsia="仿宋_GB2312" w:cs="仿宋_GB2312" w:hAnsi="仿宋_GB2312" w:hint="eastAsia"/>
          <w:color w:val="auto"/>
          <w:spacing w:val="-6"/>
          <w:sz w:val="32"/>
          <w:szCs w:val="32"/>
        </w:rPr>
        <w:t>2.严格落</w:t>
      </w:r>
      <w:r>
        <w:rPr>
          <w:rFonts w:ascii="仿宋_GB2312" w:eastAsia="仿宋_GB2312" w:cs="仿宋_GB2312" w:hAnsi="仿宋_GB2312" w:hint="eastAsia"/>
          <w:color w:val="auto"/>
          <w:sz w:val="32"/>
          <w:szCs w:val="32"/>
          <w:lang w:val="en-US" w:eastAsia="zh-CN"/>
          <w:highlight w:val="auto"/>
        </w:rPr>
        <w:t>实水污染防治措施</w:t>
      </w:r>
    </w:p>
    <w:p>
      <w:pPr>
        <w:keepNext w:val="0"/>
        <w:keepLines w:val="0"/>
        <w:pageBreakBefore w:val="0"/>
        <w:widowControl w:val="0"/>
        <w:kinsoku/>
        <w:wordWrap/>
        <w:overflowPunct/>
        <w:topLinePunct w:val="0"/>
        <w:autoSpaceDE/>
        <w:autoSpaceDN/>
        <w:bidi w:val="0"/>
        <w:snapToGrid w:val="0"/>
        <w:spacing w:line="560" w:lineRule="exact"/>
        <w:ind w:right="0" w:firstLineChars="200" w:firstLine="616"/>
        <w:textAlignment w:val="auto"/>
        <w:rPr>
          <w:rFonts w:ascii="仿宋_GB2312" w:eastAsia="仿宋_GB2312" w:cs="仿宋_GB2312" w:hAnsi="仿宋_GB2312" w:hint="eastAsia"/>
          <w:color w:val="auto"/>
          <w:spacing w:val="-6"/>
          <w:sz w:val="32"/>
          <w:szCs w:val="32"/>
          <w:lang w:val="en-US" w:eastAsia="zh-CN"/>
          <w:highlight w:val="auto"/>
        </w:rPr>
      </w:pPr>
      <w:r>
        <w:rPr>
          <w:rFonts w:ascii="仿宋_GB2312" w:eastAsia="仿宋_GB2312" w:cs="仿宋_GB2312" w:hAnsi="仿宋_GB2312" w:hint="eastAsia"/>
          <w:color w:val="auto"/>
          <w:spacing w:val="-6"/>
          <w:sz w:val="32"/>
          <w:szCs w:val="32"/>
          <w:lang w:val="en-US" w:eastAsia="zh-CN"/>
        </w:rPr>
        <w:t>项目</w:t>
      </w:r>
      <w:r>
        <w:rPr>
          <w:rFonts w:ascii="仿宋_GB2312" w:eastAsia="仿宋_GB2312" w:cs="仿宋_GB2312" w:hAnsi="仿宋_GB2312" w:hint="eastAsia"/>
          <w:color w:val="auto"/>
          <w:sz w:val="32"/>
          <w:szCs w:val="32"/>
          <w:lang w:val="en-US" w:eastAsia="zh-CN"/>
          <w:highlight w:val="auto"/>
        </w:rPr>
        <w:t>洗砂废水经处理后回用于洗砂，洗车废水经沉淀池沉淀后回用于洗车，盥洗废水于厂区内泼洒抑尘，生活污水经厂区内化粪池处理，定期清掏。</w:t>
      </w:r>
    </w:p>
    <w:p>
      <w:pPr>
        <w:keepNext w:val="0"/>
        <w:keepLines w:val="0"/>
        <w:pageBreakBefore w:val="0"/>
        <w:widowControl w:val="0"/>
        <w:kinsoku/>
        <w:wordWrap/>
        <w:overflowPunct/>
        <w:topLinePunct w:val="0"/>
        <w:autoSpaceDE/>
        <w:autoSpaceDN/>
        <w:bidi w:val="0"/>
        <w:snapToGrid w:val="0"/>
        <w:spacing w:line="560" w:lineRule="exact"/>
        <w:ind w:right="0"/>
        <w:textAlignment w:val="auto"/>
        <w:rPr>
          <w:rFonts w:ascii="仿宋_GB2312" w:eastAsia="仿宋_GB2312" w:cs="仿宋_GB2312" w:hAnsi="仿宋_GB2312" w:hint="eastAsia"/>
          <w:color w:val="auto"/>
          <w:spacing w:val="-6"/>
          <w:sz w:val="32"/>
          <w:szCs w:val="32"/>
        </w:rPr>
      </w:pPr>
      <w:r>
        <w:rPr>
          <w:rFonts w:ascii="仿宋_GB2312" w:eastAsia="仿宋_GB2312" w:cs="仿宋_GB2312" w:hAnsi="仿宋_GB2312"/>
          <w:kern w:val="2"/>
          <w:sz w:val="32"/>
          <w:szCs w:val="32"/>
          <w:lang w:eastAsia="zh-CN" w:bidi="ar-SA"/>
          <w:highlight w:val="auto"/>
        </w:rPr>
        <w:t xml:space="preserve">    </w:t>
      </w:r>
      <w:r>
        <w:rPr>
          <w:rFonts w:ascii="仿宋_GB2312" w:eastAsia="仿宋_GB2312" w:cs="仿宋_GB2312" w:hAnsi="仿宋_GB2312" w:hint="eastAsia"/>
          <w:kern w:val="2"/>
          <w:sz w:val="32"/>
          <w:szCs w:val="32"/>
          <w:lang w:val="en-US" w:eastAsia="zh-CN" w:bidi="ar-SA"/>
          <w:highlight w:val="auto"/>
        </w:rPr>
        <w:t>3.严格落实噪声污染防治</w:t>
      </w:r>
      <w:r>
        <w:rPr>
          <w:rFonts w:ascii="仿宋_GB2312" w:eastAsia="仿宋_GB2312" w:cs="仿宋_GB2312" w:hAnsi="仿宋_GB2312" w:hint="eastAsia"/>
          <w:color w:val="auto"/>
          <w:spacing w:val="-6"/>
          <w:sz w:val="32"/>
          <w:szCs w:val="32"/>
        </w:rPr>
        <w:t>措施</w:t>
      </w:r>
    </w:p>
    <w:p>
      <w:pPr>
        <w:keepNext w:val="0"/>
        <w:keepLines w:val="0"/>
        <w:pageBreakBefore w:val="0"/>
        <w:widowControl w:val="0"/>
        <w:kinsoku/>
        <w:wordWrap/>
        <w:overflowPunct/>
        <w:topLinePunct w:val="0"/>
        <w:autoSpaceDE/>
        <w:autoSpaceDN/>
        <w:bidi w:val="0"/>
        <w:snapToGrid w:val="0"/>
        <w:spacing w:line="560" w:lineRule="exact"/>
        <w:ind w:right="0" w:firstLineChars="200" w:firstLine="616"/>
        <w:textAlignment w:val="auto"/>
        <w:rPr>
          <w:rFonts w:ascii="仿宋_GB2312" w:eastAsia="仿宋_GB2312" w:cs="仿宋_GB2312" w:hAnsi="仿宋_GB2312" w:hint="eastAsia"/>
          <w:color w:val="auto"/>
          <w:spacing w:val="-6"/>
          <w:sz w:val="32"/>
          <w:szCs w:val="32"/>
        </w:rPr>
      </w:pPr>
      <w:r>
        <w:rPr>
          <w:rFonts w:ascii="仿宋_GB2312" w:eastAsia="仿宋_GB2312" w:cs="仿宋_GB2312" w:hAnsi="仿宋_GB2312" w:hint="eastAsia"/>
          <w:color w:val="auto"/>
          <w:spacing w:val="-6"/>
          <w:sz w:val="32"/>
          <w:szCs w:val="32"/>
        </w:rPr>
        <w:t>采取各项降噪措施，严格控制生产过程产生的噪声对周围环境的影响。项目选用低噪声设备、采取基础减振、厂房隔声等措施，项目实施后厂界噪声须满足《工业企业厂界环境噪声排放标准》（GB12348-2008）</w:t>
      </w:r>
      <w:r>
        <w:rPr>
          <w:rFonts w:ascii="仿宋_GB2312" w:eastAsia="仿宋_GB2312" w:cs="仿宋_GB2312" w:hAnsi="仿宋_GB2312" w:hint="eastAsia"/>
          <w:color w:val="auto"/>
          <w:spacing w:val="-6"/>
          <w:sz w:val="32"/>
          <w:szCs w:val="32"/>
          <w:lang w:val="en-US" w:eastAsia="zh-CN"/>
        </w:rPr>
        <w:t>2类</w:t>
      </w:r>
      <w:r>
        <w:rPr>
          <w:rFonts w:ascii="仿宋_GB2312" w:eastAsia="仿宋_GB2312" w:cs="仿宋_GB2312" w:hAnsi="仿宋_GB2312" w:hint="eastAsia"/>
          <w:color w:val="auto"/>
          <w:spacing w:val="-6"/>
          <w:sz w:val="32"/>
          <w:szCs w:val="32"/>
        </w:rPr>
        <w:t>标准限值要求。</w:t>
      </w:r>
    </w:p>
    <w:p>
      <w:pPr>
        <w:keepNext w:val="0"/>
        <w:keepLines w:val="0"/>
        <w:pageBreakBefore w:val="0"/>
        <w:widowControl w:val="0"/>
        <w:kinsoku/>
        <w:wordWrap/>
        <w:overflowPunct/>
        <w:topLinePunct w:val="0"/>
        <w:autoSpaceDE/>
        <w:autoSpaceDN/>
        <w:bidi w:val="0"/>
        <w:snapToGrid w:val="0"/>
        <w:spacing w:line="560" w:lineRule="exact"/>
        <w:ind w:right="0" w:firstLineChars="200" w:firstLine="616"/>
        <w:textAlignment w:val="auto"/>
        <w:rPr>
          <w:rFonts w:ascii="仿宋_GB2312" w:eastAsia="仿宋_GB2312" w:cs="仿宋_GB2312" w:hAnsi="仿宋_GB2312" w:hint="eastAsia"/>
          <w:color w:val="auto"/>
          <w:spacing w:val="-6"/>
          <w:sz w:val="32"/>
          <w:szCs w:val="32"/>
        </w:rPr>
      </w:pPr>
      <w:r>
        <w:rPr>
          <w:rFonts w:ascii="仿宋_GB2312" w:eastAsia="仿宋_GB2312" w:cs="仿宋_GB2312" w:hAnsi="仿宋_GB2312" w:hint="eastAsia"/>
          <w:color w:val="auto"/>
          <w:spacing w:val="-6"/>
          <w:sz w:val="32"/>
          <w:szCs w:val="32"/>
        </w:rPr>
        <w:t>4.严格落实固体废物污染防治措施</w:t>
      </w:r>
    </w:p>
    <w:p>
      <w:pPr>
        <w:keepNext w:val="0"/>
        <w:keepLines w:val="0"/>
        <w:pageBreakBefore w:val="0"/>
        <w:widowControl w:val="0"/>
        <w:kinsoku/>
        <w:wordWrap/>
        <w:overflowPunct/>
        <w:topLinePunct w:val="0"/>
        <w:autoSpaceDE/>
        <w:autoSpaceDN/>
        <w:bidi w:val="0"/>
        <w:snapToGrid w:val="0"/>
        <w:spacing w:line="560" w:lineRule="exact"/>
        <w:ind w:right="0" w:firstLineChars="200" w:firstLine="616"/>
        <w:textAlignment w:val="auto"/>
        <w:rPr>
          <w:rFonts w:ascii="仿宋_GB2312" w:eastAsia="仿宋_GB2312" w:cs="仿宋_GB2312" w:hAnsi="仿宋_GB2312" w:hint="eastAsia"/>
          <w:color w:val="auto"/>
          <w:spacing w:val="-6"/>
          <w:sz w:val="32"/>
          <w:szCs w:val="32"/>
          <w:lang w:val="en-US" w:eastAsia="zh-CN"/>
        </w:rPr>
      </w:pPr>
      <w:r>
        <w:rPr>
          <w:rFonts w:ascii="仿宋_GB2312" w:eastAsia="仿宋_GB2312" w:cs="仿宋_GB2312" w:hAnsi="仿宋_GB2312" w:hint="eastAsia"/>
          <w:color w:val="auto"/>
          <w:spacing w:val="-6"/>
          <w:sz w:val="32"/>
          <w:szCs w:val="32"/>
        </w:rPr>
        <w:t>企业要严格落实固体废物分类处置和综合利用措施，认真落实《报告表》规定的固体废物处理、处置措施。按照“资源化、减量化、无害化”的固废处置原则，实现综合利用。项目产生的固体废物主要为</w:t>
      </w:r>
      <w:r>
        <w:rPr>
          <w:rFonts w:ascii="仿宋_GB2312" w:eastAsia="仿宋_GB2312" w:cs="仿宋_GB2312" w:hAnsi="仿宋_GB2312" w:hint="eastAsia"/>
          <w:sz w:val="32"/>
          <w:szCs w:val="32"/>
          <w:lang w:val="en-US" w:eastAsia="zh-CN"/>
        </w:rPr>
        <w:t>压滤泥饼、PAM废包装袋、洗车沉泥、废润滑油、废油桶和生活垃圾</w:t>
      </w:r>
      <w:r>
        <w:rPr>
          <w:rFonts w:ascii="仿宋_GB2312" w:eastAsia="仿宋_GB2312" w:cs="仿宋_GB2312" w:hAnsi="仿宋_GB2312" w:hint="eastAsia"/>
          <w:color w:val="auto"/>
          <w:spacing w:val="-6"/>
          <w:sz w:val="32"/>
          <w:szCs w:val="32"/>
          <w:lang w:val="en-US" w:eastAsia="zh-CN"/>
        </w:rPr>
        <w:t>。</w:t>
      </w:r>
    </w:p>
    <w:p>
      <w:pPr>
        <w:ind w:firstLineChars="200" w:firstLine="640"/>
        <w:rPr>
          <w:rFonts w:ascii="仿宋_GB2312" w:eastAsia="仿宋_GB2312" w:cs="仿宋_GB2312" w:hAnsi="仿宋_GB2312" w:hint="eastAsia"/>
          <w:color w:val="auto"/>
          <w:spacing w:val="-6"/>
          <w:sz w:val="32"/>
          <w:szCs w:val="32"/>
          <w:lang w:val="en-US" w:eastAsia="zh-CN"/>
        </w:rPr>
      </w:pPr>
      <w:r>
        <w:rPr>
          <w:rFonts w:ascii="仿宋_GB2312" w:eastAsia="仿宋_GB2312" w:cs="仿宋_GB2312" w:hAnsi="仿宋_GB2312" w:hint="eastAsia"/>
          <w:sz w:val="32"/>
          <w:szCs w:val="32"/>
          <w:lang w:val="en-US" w:eastAsia="zh-CN"/>
        </w:rPr>
        <w:t>压滤泥饼和和洗车沉泥收集后交由回收单位处置利用，PAM废包装袋外售综合利用。</w:t>
      </w:r>
      <w:r>
        <w:rPr>
          <w:rFonts w:ascii="仿宋_GB2312" w:eastAsia="仿宋_GB2312" w:cs="仿宋_GB2312" w:hAnsi="仿宋_GB2312" w:hint="eastAsia"/>
          <w:color w:val="auto"/>
          <w:spacing w:val="-6"/>
          <w:sz w:val="32"/>
          <w:szCs w:val="32"/>
          <w:lang w:val="en-US" w:eastAsia="zh-CN"/>
        </w:rPr>
        <w:t>废润滑油、废油桶</w:t>
      </w:r>
      <w:r>
        <w:rPr>
          <w:rFonts w:ascii="仿宋_GB2312" w:eastAsia="仿宋_GB2312" w:cs="仿宋_GB2312" w:hAnsi="仿宋_GB2312"/>
          <w:color w:val="auto"/>
          <w:spacing w:val="-6"/>
          <w:sz w:val="32"/>
          <w:szCs w:val="32"/>
          <w:lang w:eastAsia="zh-CN"/>
        </w:rPr>
        <w:t>为危险废物，</w:t>
      </w:r>
      <w:r>
        <w:rPr>
          <w:rFonts w:ascii="仿宋_GB2312" w:eastAsia="仿宋_GB2312" w:cs="仿宋_GB2312" w:hAnsi="仿宋_GB2312" w:hint="eastAsia"/>
          <w:color w:val="auto"/>
          <w:spacing w:val="-6"/>
          <w:sz w:val="32"/>
          <w:szCs w:val="32"/>
          <w:lang w:val="en-US" w:eastAsia="zh-CN"/>
        </w:rPr>
        <w:t>暂存于危废暂存间内</w:t>
      </w:r>
      <w:r>
        <w:rPr>
          <w:rFonts w:ascii="仿宋_GB2312" w:eastAsia="仿宋_GB2312" w:cs="仿宋_GB2312" w:hAnsi="仿宋_GB2312"/>
          <w:color w:val="auto"/>
          <w:spacing w:val="-6"/>
          <w:sz w:val="32"/>
          <w:szCs w:val="32"/>
          <w:lang w:val="en-US" w:eastAsia="zh-CN"/>
        </w:rPr>
        <w:t>，定期交由具有危废处置资质单位处理</w:t>
      </w:r>
      <w:r>
        <w:rPr>
          <w:rFonts w:ascii="仿宋_GB2312" w:eastAsia="仿宋_GB2312" w:cs="仿宋_GB2312" w:hAnsi="仿宋_GB2312" w:hint="eastAsia"/>
          <w:color w:val="auto"/>
          <w:spacing w:val="-6"/>
          <w:sz w:val="32"/>
          <w:szCs w:val="32"/>
          <w:lang w:val="en-US" w:eastAsia="zh-CN"/>
        </w:rPr>
        <w:t>。</w:t>
      </w:r>
    </w:p>
    <w:p>
      <w:pPr>
        <w:keepNext w:val="0"/>
        <w:keepLines w:val="0"/>
        <w:pageBreakBefore w:val="0"/>
        <w:widowControl w:val="0"/>
        <w:kinsoku/>
        <w:wordWrap/>
        <w:overflowPunct/>
        <w:topLinePunct w:val="0"/>
        <w:autoSpaceDE/>
        <w:autoSpaceDN/>
        <w:bidi w:val="0"/>
        <w:snapToGrid w:val="0"/>
        <w:spacing w:line="560" w:lineRule="exact"/>
        <w:ind w:right="0" w:firstLineChars="200" w:firstLine="616"/>
        <w:textAlignment w:val="auto"/>
        <w:rPr>
          <w:rFonts w:ascii="仿宋_GB2312" w:eastAsia="仿宋_GB2312" w:cs="仿宋_GB2312" w:hAnsi="仿宋_GB2312" w:hint="eastAsia"/>
          <w:color w:val="auto"/>
          <w:spacing w:val="-6"/>
          <w:sz w:val="32"/>
          <w:szCs w:val="32"/>
        </w:rPr>
      </w:pPr>
      <w:r>
        <w:rPr>
          <w:rFonts w:ascii="仿宋_GB2312" w:eastAsia="仿宋_GB2312" w:cs="仿宋_GB2312" w:hAnsi="仿宋_GB2312" w:hint="eastAsia"/>
          <w:color w:val="auto"/>
          <w:spacing w:val="-6"/>
          <w:sz w:val="32"/>
          <w:szCs w:val="32"/>
        </w:rPr>
        <w:t>项目产生的危险废物及危险废物暂存库须满足《危险废物贮存污染控制标准》(GB18597-20</w:t>
      </w:r>
      <w:r>
        <w:rPr>
          <w:rFonts w:ascii="仿宋_GB2312" w:eastAsia="仿宋_GB2312" w:cs="仿宋_GB2312" w:hAnsi="仿宋_GB2312"/>
          <w:color w:val="auto"/>
          <w:spacing w:val="-6"/>
          <w:sz w:val="32"/>
          <w:szCs w:val="32"/>
        </w:rPr>
        <w:t>23</w:t>
      </w:r>
      <w:r>
        <w:rPr>
          <w:rFonts w:ascii="仿宋_GB2312" w:eastAsia="仿宋_GB2312" w:cs="仿宋_GB2312" w:hAnsi="仿宋_GB2312" w:hint="eastAsia"/>
          <w:color w:val="auto"/>
          <w:spacing w:val="-6"/>
          <w:sz w:val="32"/>
          <w:szCs w:val="32"/>
        </w:rPr>
        <w:t>)要求。</w:t>
      </w:r>
    </w:p>
    <w:p>
      <w:pPr>
        <w:keepNext w:val="0"/>
        <w:keepLines w:val="0"/>
        <w:pageBreakBefore w:val="0"/>
        <w:widowControl w:val="0"/>
        <w:kinsoku/>
        <w:wordWrap/>
        <w:overflowPunct/>
        <w:topLinePunct w:val="0"/>
        <w:autoSpaceDE/>
        <w:autoSpaceDN/>
        <w:bidi w:val="0"/>
        <w:snapToGrid w:val="0"/>
        <w:spacing w:line="560" w:lineRule="exact"/>
        <w:ind w:right="0" w:firstLineChars="200" w:firstLine="616"/>
        <w:textAlignment w:val="auto"/>
        <w:rPr>
          <w:rFonts w:ascii="仿宋_GB2312" w:eastAsia="仿宋_GB2312" w:cs="仿宋_GB2312" w:hAnsi="仿宋_GB2312" w:hint="eastAsia"/>
          <w:spacing w:val="-6"/>
          <w:sz w:val="32"/>
          <w:szCs w:val="32"/>
        </w:rPr>
      </w:pPr>
      <w:r>
        <w:rPr>
          <w:rFonts w:ascii="仿宋_GB2312" w:eastAsia="仿宋_GB2312" w:cs="仿宋_GB2312" w:hAnsi="仿宋_GB2312" w:hint="eastAsia"/>
          <w:spacing w:val="-6"/>
          <w:sz w:val="32"/>
          <w:szCs w:val="32"/>
        </w:rPr>
        <w:t>5</w:t>
      </w:r>
      <w:r>
        <w:rPr>
          <w:rFonts w:ascii="仿宋_GB2312" w:eastAsia="仿宋_GB2312" w:cs="仿宋_GB2312" w:hAnsi="仿宋_GB2312" w:hint="eastAsia"/>
          <w:spacing w:val="-6"/>
          <w:sz w:val="32"/>
          <w:szCs w:val="32"/>
          <w:lang w:val="en-US" w:eastAsia="zh-CN"/>
        </w:rPr>
        <w:t>.</w:t>
      </w:r>
      <w:r>
        <w:rPr>
          <w:rFonts w:ascii="仿宋_GB2312" w:eastAsia="仿宋_GB2312" w:cs="仿宋_GB2312" w:hAnsi="仿宋_GB2312" w:hint="eastAsia"/>
          <w:spacing w:val="-6"/>
          <w:sz w:val="32"/>
          <w:szCs w:val="32"/>
        </w:rPr>
        <w:t>认真</w:t>
      </w:r>
      <w:r>
        <w:rPr>
          <w:rFonts w:ascii="仿宋_GB2312" w:eastAsia="仿宋_GB2312" w:cs="仿宋_GB2312" w:hAnsi="仿宋_GB2312" w:hint="eastAsia"/>
          <w:sz w:val="32"/>
          <w:szCs w:val="32"/>
        </w:rPr>
        <w:t>落实《报告表》其他环境管理要求。</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Chars="200" w:firstLine="616"/>
        <w:textAlignment w:val="auto"/>
        <w:rPr>
          <w:rFonts w:ascii="仿宋_GB2312" w:eastAsia="仿宋_GB2312" w:cs="仿宋_GB2312" w:hAnsi="仿宋_GB2312" w:hint="eastAsia"/>
          <w:spacing w:val="-6"/>
          <w:sz w:val="32"/>
          <w:szCs w:val="32"/>
        </w:rPr>
      </w:pPr>
      <w:r>
        <w:rPr>
          <w:rFonts w:ascii="仿宋_GB2312" w:eastAsia="仿宋_GB2312" w:cs="仿宋_GB2312" w:hAnsi="仿宋_GB2312" w:hint="eastAsia"/>
          <w:spacing w:val="-6"/>
          <w:sz w:val="32"/>
          <w:szCs w:val="32"/>
          <w:lang w:eastAsia="zh-CN"/>
        </w:rPr>
        <w:t>三、</w:t>
      </w:r>
      <w:r>
        <w:rPr>
          <w:rFonts w:ascii="仿宋_GB2312" w:eastAsia="仿宋_GB2312" w:cs="仿宋_GB2312" w:hAnsi="仿宋_GB2312" w:hint="eastAsia"/>
          <w:spacing w:val="-6"/>
          <w:sz w:val="32"/>
          <w:szCs w:val="32"/>
        </w:rPr>
        <w:t>强化环境风险防范和应急措施。制订完善的环境管理、风险管理措施，设施配备齐全，加强相关人员培训</w:t>
      </w:r>
      <w:r>
        <w:rPr>
          <w:rFonts w:ascii="仿宋_GB2312" w:eastAsia="仿宋_GB2312" w:cs="仿宋_GB2312" w:hAnsi="仿宋_GB2312" w:hint="eastAsia"/>
          <w:color w:val="000000"/>
          <w:kern w:val="0"/>
          <w:sz w:val="32"/>
          <w:szCs w:val="32"/>
        </w:rPr>
        <w:t>。加强风险源管控，严格落实《报告表》中环境风险防范措施，</w:t>
      </w:r>
      <w:r>
        <w:rPr>
          <w:rFonts w:ascii="仿宋_GB2312" w:eastAsia="仿宋_GB2312" w:cs="仿宋_GB2312" w:hAnsi="仿宋_GB2312" w:hint="eastAsia"/>
          <w:color w:val="000000"/>
          <w:kern w:val="0"/>
          <w:sz w:val="32"/>
          <w:szCs w:val="32"/>
          <w:lang w:eastAsia="zh-CN"/>
        </w:rPr>
        <w:t>落实</w:t>
      </w:r>
      <w:r>
        <w:rPr>
          <w:rFonts w:ascii="仿宋_GB2312" w:eastAsia="仿宋_GB2312" w:cs="仿宋_GB2312" w:hAnsi="仿宋_GB2312" w:hint="eastAsia"/>
          <w:color w:val="000000"/>
          <w:kern w:val="0"/>
          <w:sz w:val="32"/>
          <w:szCs w:val="32"/>
        </w:rPr>
        <w:t>突发环境事件应急</w:t>
      </w:r>
      <w:r>
        <w:rPr>
          <w:rFonts w:ascii="仿宋_GB2312" w:eastAsia="仿宋_GB2312" w:cs="仿宋_GB2312" w:hAnsi="仿宋_GB2312"/>
          <w:color w:val="000000"/>
          <w:kern w:val="0"/>
          <w:sz w:val="32"/>
          <w:szCs w:val="32"/>
        </w:rPr>
        <w:t>相关</w:t>
      </w:r>
      <w:r>
        <w:rPr>
          <w:rFonts w:ascii="仿宋_GB2312" w:eastAsia="仿宋_GB2312" w:cs="仿宋_GB2312" w:hAnsi="仿宋_GB2312" w:hint="eastAsia"/>
          <w:color w:val="000000"/>
          <w:kern w:val="0"/>
          <w:sz w:val="32"/>
          <w:szCs w:val="32"/>
          <w:lang w:eastAsia="zh-CN"/>
        </w:rPr>
        <w:t>要求</w:t>
      </w:r>
      <w:r>
        <w:rPr>
          <w:rFonts w:ascii="仿宋_GB2312" w:eastAsia="仿宋_GB2312" w:cs="仿宋_GB2312" w:hAnsi="仿宋_GB2312" w:hint="eastAsia"/>
          <w:color w:val="000000"/>
          <w:kern w:val="0"/>
          <w:sz w:val="32"/>
          <w:szCs w:val="32"/>
        </w:rPr>
        <w:t>，并与当地政府及相关部门应急预案做好衔接，定期进行应急培训和</w:t>
      </w:r>
      <w:r>
        <w:rPr>
          <w:rFonts w:ascii="仿宋_GB2312" w:eastAsia="仿宋_GB2312" w:cs="仿宋_GB2312" w:hAnsi="仿宋_GB2312" w:hint="eastAsia"/>
          <w:spacing w:val="-6"/>
          <w:sz w:val="32"/>
          <w:szCs w:val="32"/>
        </w:rPr>
        <w:t>演练，有效防范和应对环境风险。</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Chars="200" w:firstLine="640"/>
        <w:textAlignment w:val="auto"/>
        <w:rPr>
          <w:rFonts w:ascii="仿宋_GB2312" w:eastAsia="仿宋_GB2312" w:cs="仿宋_GB2312" w:hAnsi="仿宋_GB2312" w:hint="eastAsia"/>
          <w:color w:val="000000"/>
          <w:kern w:val="0"/>
          <w:sz w:val="32"/>
          <w:szCs w:val="32"/>
        </w:rPr>
      </w:pPr>
      <w:r>
        <w:rPr>
          <w:rFonts w:ascii="仿宋_GB2312" w:eastAsia="仿宋_GB2312" w:cs="仿宋_GB2312" w:hAnsi="仿宋_GB2312" w:hint="eastAsia"/>
          <w:color w:val="000000"/>
          <w:kern w:val="0"/>
          <w:sz w:val="32"/>
          <w:szCs w:val="32"/>
          <w:lang w:eastAsia="zh-CN"/>
        </w:rPr>
        <w:t>四、</w:t>
      </w:r>
      <w:r>
        <w:rPr>
          <w:rFonts w:ascii="仿宋_GB2312" w:eastAsia="仿宋_GB2312" w:cs="仿宋_GB2312" w:hAnsi="仿宋_GB2312" w:hint="eastAsia"/>
          <w:color w:val="000000"/>
          <w:kern w:val="0"/>
          <w:sz w:val="32"/>
          <w:szCs w:val="32"/>
        </w:rPr>
        <w:t xml:space="preserve">认真落实《报告表》中规定的污染防治措施及清洁生产措施，项目实施后，企业须按照国家排污许可有关管理规定及时办理排污许可证。 </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Chars="200" w:firstLine="640"/>
        <w:textAlignment w:val="auto"/>
        <w:rPr>
          <w:rFonts w:ascii="仿宋_GB2312" w:eastAsia="仿宋_GB2312" w:cs="仿宋_GB2312" w:hAnsi="仿宋_GB2312" w:hint="eastAsia"/>
          <w:spacing w:val="-6"/>
          <w:sz w:val="32"/>
          <w:szCs w:val="32"/>
        </w:rPr>
      </w:pPr>
      <w:r>
        <w:rPr>
          <w:rFonts w:ascii="仿宋_GB2312" w:eastAsia="仿宋_GB2312" w:cs="仿宋_GB2312" w:hAnsi="仿宋_GB2312" w:hint="eastAsia"/>
          <w:color w:val="000000"/>
          <w:kern w:val="0"/>
          <w:sz w:val="32"/>
          <w:szCs w:val="32"/>
        </w:rPr>
        <w:t>五、</w:t>
      </w:r>
      <w:r>
        <w:rPr>
          <w:rFonts w:ascii="仿宋_GB2312" w:eastAsia="仿宋_GB2312" w:cs="仿宋_GB2312" w:hAnsi="仿宋_GB2312" w:hint="eastAsia"/>
          <w:spacing w:val="-6"/>
          <w:sz w:val="32"/>
          <w:szCs w:val="32"/>
        </w:rPr>
        <w:t>在项目运营过程中，应建立畅通的公众参与平台，及时解决公众关注的环境问题，满足公众合理的环境诉求。定期发布企业环境信息，主动接受社会监督。</w:t>
      </w:r>
    </w:p>
    <w:p>
      <w:pPr>
        <w:keepNext w:val="0"/>
        <w:keepLines w:val="0"/>
        <w:pageBreakBefore w:val="0"/>
        <w:widowControl w:val="0"/>
        <w:kinsoku/>
        <w:wordWrap/>
        <w:overflowPunct/>
        <w:topLinePunct w:val="0"/>
        <w:autoSpaceDE/>
        <w:autoSpaceDN/>
        <w:bidi w:val="0"/>
        <w:snapToGrid w:val="0"/>
        <w:spacing w:line="560" w:lineRule="exact"/>
        <w:ind w:right="0" w:firstLineChars="200" w:firstLine="616"/>
        <w:textAlignment w:val="auto"/>
        <w:rPr>
          <w:rFonts w:ascii="仿宋_GB2312" w:eastAsia="仿宋_GB2312" w:cs="仿宋_GB2312" w:hAnsi="仿宋_GB2312" w:hint="eastAsia"/>
          <w:spacing w:val="-6"/>
          <w:sz w:val="32"/>
          <w:szCs w:val="32"/>
        </w:rPr>
      </w:pPr>
      <w:r>
        <w:rPr>
          <w:rFonts w:ascii="仿宋_GB2312" w:eastAsia="仿宋_GB2312" w:cs="仿宋_GB2312" w:hAnsi="仿宋_GB2312" w:hint="eastAsia"/>
          <w:spacing w:val="-6"/>
          <w:sz w:val="32"/>
          <w:szCs w:val="32"/>
        </w:rPr>
        <w:t>六、</w:t>
      </w:r>
      <w:r>
        <w:rPr>
          <w:rFonts w:ascii="仿宋_GB2312" w:eastAsia="仿宋_GB2312" w:cs="仿宋_GB2312" w:hAnsi="仿宋_GB2312" w:hint="eastAsia"/>
          <w:color w:val="000000"/>
          <w:sz w:val="32"/>
          <w:szCs w:val="32"/>
          <w:shd w:val="clear" w:color="auto" w:fill="FFFFFF"/>
        </w:rPr>
        <w:t>进一步强化污染源管理工作。按照国家和地方有关规定，建设规范的污染物排放口，设立标志牌</w:t>
      </w:r>
      <w:r>
        <w:rPr>
          <w:rFonts w:ascii="仿宋_GB2312" w:eastAsia="仿宋_GB2312" w:cs="仿宋_GB2312" w:hAnsi="仿宋_GB2312" w:hint="eastAsia"/>
          <w:spacing w:val="-6"/>
          <w:sz w:val="32"/>
          <w:szCs w:val="32"/>
        </w:rPr>
        <w:t>。</w:t>
      </w:r>
      <w:r>
        <w:rPr>
          <w:rFonts w:ascii="仿宋_GB2312" w:eastAsia="仿宋_GB2312" w:cs="仿宋_GB2312" w:hAnsi="仿宋_GB2312" w:hint="eastAsia"/>
          <w:color w:val="000000"/>
          <w:sz w:val="32"/>
          <w:szCs w:val="32"/>
          <w:shd w:val="clear" w:color="auto" w:fill="FFFFFF"/>
        </w:rPr>
        <w:t>对《报告表》要求的监测内容定期开展监测，企业应按照环境监测管理规定和技术规范的要求，设计、建设、维护永久性采样口、采样测试平台。</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Chars="200" w:firstLine="616"/>
        <w:textAlignment w:val="auto"/>
        <w:rPr>
          <w:rFonts w:ascii="仿宋_GB2312" w:eastAsia="仿宋_GB2312" w:cs="仿宋_GB2312" w:hAnsi="仿宋_GB2312" w:hint="eastAsia"/>
          <w:spacing w:val="-6"/>
          <w:sz w:val="32"/>
          <w:szCs w:val="32"/>
        </w:rPr>
      </w:pPr>
      <w:r>
        <w:rPr>
          <w:rFonts w:ascii="仿宋_GB2312" w:eastAsia="仿宋_GB2312" w:cs="仿宋_GB2312" w:hAnsi="仿宋_GB2312" w:hint="eastAsia"/>
          <w:spacing w:val="-6"/>
          <w:sz w:val="32"/>
          <w:szCs w:val="32"/>
        </w:rPr>
        <w:t>七、本项目建设必须严格执行配套建设的环境保护设施与主体工程同时设计、同时施工、同时投产使用的环境保护“三同时”制度。项目竣工后，按规定开展竣工环境保护验收。验收合格后，项目方可正式投入生产，</w:t>
      </w:r>
      <w:r>
        <w:rPr>
          <w:rFonts w:ascii="仿宋_GB2312" w:eastAsia="仿宋_GB2312" w:cs="仿宋_GB2312" w:hAnsi="仿宋_GB2312" w:hint="eastAsia"/>
          <w:sz w:val="32"/>
          <w:szCs w:val="32"/>
        </w:rPr>
        <w:t>未经验收或者验收不合格的，不得投入生产或者使用</w:t>
      </w:r>
      <w:r>
        <w:rPr>
          <w:rFonts w:ascii="仿宋_GB2312" w:eastAsia="仿宋_GB2312" w:cs="仿宋_GB2312" w:hAnsi="仿宋_GB2312" w:hint="eastAsia"/>
          <w:spacing w:val="-6"/>
          <w:sz w:val="32"/>
          <w:szCs w:val="32"/>
        </w:rPr>
        <w:t>。本项目环境影响评价文件经批准后，如设计和施工变化造成工程性质、规模、工艺、防治污染的措施发生重大变动的，应当在调整前重新报批本项目环境影响评价文件。</w:t>
      </w:r>
      <w:r>
        <w:rPr>
          <w:rFonts w:ascii="仿宋_GB2312" w:eastAsia="仿宋_GB2312" w:cs="仿宋_GB2312" w:hAnsi="仿宋_GB2312" w:hint="eastAsia"/>
          <w:sz w:val="32"/>
          <w:szCs w:val="32"/>
        </w:rPr>
        <w:t>工程自批复之日起五年后方决定开工建设的，需将环评文件报我局重新审核。</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Chars="200" w:firstLine="616"/>
        <w:textAlignment w:val="auto"/>
        <w:rPr>
          <w:rFonts w:ascii="仿宋_GB2312" w:eastAsia="仿宋_GB2312" w:cs="仿宋_GB2312" w:hAnsi="仿宋_GB2312" w:hint="eastAsia"/>
          <w:spacing w:val="-6"/>
          <w:sz w:val="32"/>
          <w:szCs w:val="32"/>
        </w:rPr>
      </w:pPr>
      <w:r>
        <w:rPr>
          <w:rFonts w:ascii="仿宋_GB2312" w:eastAsia="仿宋_GB2312" w:cs="仿宋_GB2312" w:hAnsi="仿宋_GB2312" w:hint="eastAsia"/>
          <w:spacing w:val="-6"/>
          <w:sz w:val="32"/>
          <w:szCs w:val="32"/>
        </w:rPr>
        <w:t>八、你单位在接到本批复后的10个工作日内，须将环评报告表及其批复送秦皇岛市生态环境局</w:t>
      </w:r>
      <w:r>
        <w:rPr>
          <w:rFonts w:ascii="仿宋_GB2312" w:eastAsia="仿宋_GB2312" w:cs="仿宋_GB2312" w:hAnsi="仿宋_GB2312" w:hint="eastAsia"/>
          <w:spacing w:val="-6"/>
          <w:sz w:val="32"/>
          <w:szCs w:val="32"/>
          <w:lang w:eastAsia="zh-CN"/>
        </w:rPr>
        <w:t>抚宁区分局</w:t>
      </w:r>
      <w:r>
        <w:rPr>
          <w:rFonts w:ascii="仿宋_GB2312" w:eastAsia="仿宋_GB2312" w:cs="仿宋_GB2312" w:hAnsi="仿宋_GB2312" w:hint="eastAsia"/>
          <w:spacing w:val="-6"/>
          <w:sz w:val="32"/>
          <w:szCs w:val="32"/>
        </w:rPr>
        <w:t>、资规局等相关部门，日常监督管理由秦皇岛市生态环境局</w:t>
      </w:r>
      <w:r>
        <w:rPr>
          <w:rFonts w:ascii="仿宋_GB2312" w:eastAsia="仿宋_GB2312" w:cs="仿宋_GB2312" w:hAnsi="仿宋_GB2312" w:hint="eastAsia"/>
          <w:spacing w:val="-6"/>
          <w:sz w:val="32"/>
          <w:szCs w:val="32"/>
          <w:lang w:eastAsia="zh-CN"/>
        </w:rPr>
        <w:t>抚宁区分局</w:t>
      </w:r>
      <w:r>
        <w:rPr>
          <w:rFonts w:ascii="仿宋_GB2312" w:eastAsia="仿宋_GB2312" w:cs="仿宋_GB2312" w:hAnsi="仿宋_GB2312" w:hint="eastAsia"/>
          <w:spacing w:val="-6"/>
          <w:sz w:val="32"/>
          <w:szCs w:val="32"/>
        </w:rPr>
        <w:t>负责。建设单位须定期向秦皇岛市生态环境局</w:t>
      </w:r>
      <w:r>
        <w:rPr>
          <w:rFonts w:ascii="仿宋_GB2312" w:eastAsia="仿宋_GB2312" w:cs="仿宋_GB2312" w:hAnsi="仿宋_GB2312" w:hint="eastAsia"/>
          <w:spacing w:val="-6"/>
          <w:sz w:val="32"/>
          <w:szCs w:val="32"/>
          <w:lang w:eastAsia="zh-CN"/>
        </w:rPr>
        <w:t>抚宁区分局</w:t>
      </w:r>
      <w:r>
        <w:rPr>
          <w:rFonts w:ascii="仿宋_GB2312" w:eastAsia="仿宋_GB2312" w:cs="仿宋_GB2312" w:hAnsi="仿宋_GB2312" w:hint="eastAsia"/>
          <w:spacing w:val="-6"/>
          <w:sz w:val="32"/>
          <w:szCs w:val="32"/>
        </w:rPr>
        <w:t xml:space="preserve">报告“三同时”完成情况。并按规定接受各级生态环境行政主管部门的日常监督检查。 </w:t>
      </w:r>
    </w:p>
    <w:p>
      <w:pPr>
        <w:keepNext w:val="0"/>
        <w:keepLines w:val="0"/>
        <w:pageBreakBefore w:val="0"/>
        <w:widowControl w:val="0"/>
        <w:kinsoku/>
        <w:wordWrap/>
        <w:overflowPunct/>
        <w:topLinePunct w:val="0"/>
        <w:autoSpaceDE/>
        <w:autoSpaceDN/>
        <w:bidi w:val="0"/>
        <w:adjustRightInd w:val="0"/>
        <w:snapToGrid w:val="0"/>
        <w:spacing w:line="560" w:lineRule="exact"/>
        <w:ind w:left="0" w:right="0"/>
        <w:jc w:val="right"/>
        <w:textAlignment w:val="auto"/>
        <w:rPr>
          <w:rFonts w:ascii="仿宋_GB2312" w:eastAsia="仿宋_GB2312" w:cs="仿宋_GB2312" w:hAnsi="仿宋_GB2312" w:hint="eastAsia"/>
          <w:spacing w:val="-6"/>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jc w:val="right"/>
        <w:textAlignment w:val="auto"/>
        <w:rPr>
          <w:rFonts w:ascii="仿宋_GB2312" w:eastAsia="仿宋_GB2312" w:cs="仿宋_GB2312" w:hAnsi="仿宋_GB2312" w:hint="eastAsia"/>
          <w:spacing w:val="-6"/>
          <w:sz w:val="32"/>
          <w:szCs w:val="32"/>
        </w:rPr>
      </w:pPr>
      <w:r>
        <w:rPr>
          <w:rFonts w:ascii="仿宋_GB2312" w:eastAsia="仿宋_GB2312" w:cs="仿宋_GB2312" w:hAnsi="仿宋_GB2312" w:hint="eastAsia"/>
          <w:spacing w:val="-6"/>
          <w:sz w:val="32"/>
          <w:szCs w:val="32"/>
        </w:rPr>
        <w:t xml:space="preserve">          </w:t>
      </w:r>
    </w:p>
    <w:p>
      <w:pPr>
        <w:keepNext w:val="0"/>
        <w:keepLines w:val="0"/>
        <w:pageBreakBefore w:val="0"/>
        <w:widowControl w:val="0"/>
        <w:kinsoku/>
        <w:wordWrap w:val="0"/>
        <w:overflowPunct/>
        <w:topLinePunct w:val="0"/>
        <w:autoSpaceDE/>
        <w:autoSpaceDN/>
        <w:bidi w:val="0"/>
        <w:adjustRightInd w:val="0"/>
        <w:snapToGrid w:val="0"/>
        <w:spacing w:line="560" w:lineRule="exact"/>
        <w:ind w:left="0" w:right="0"/>
        <w:jc w:val="right"/>
        <w:textAlignment w:val="auto"/>
        <w:rPr>
          <w:rFonts w:ascii="仿宋_GB2312" w:eastAsia="仿宋_GB2312" w:cs="仿宋_GB2312" w:hAnsi="仿宋_GB2312" w:hint="eastAsia"/>
          <w:spacing w:val="-6"/>
          <w:sz w:val="32"/>
          <w:szCs w:val="32"/>
          <w:lang w:val="en-US" w:eastAsia="zh-CN"/>
        </w:rPr>
      </w:pPr>
      <w:r>
        <w:rPr>
          <w:rFonts w:ascii="仿宋_GB2312" w:eastAsia="仿宋_GB2312" w:cs="仿宋_GB2312" w:hAnsi="仿宋_GB2312" w:hint="eastAsia"/>
          <w:spacing w:val="-6"/>
          <w:sz w:val="32"/>
          <w:szCs w:val="32"/>
        </w:rPr>
        <w:t xml:space="preserve">  秦皇岛市行政审批局</w:t>
      </w:r>
      <w:r>
        <w:rPr>
          <w:rFonts w:ascii="仿宋_GB2312" w:eastAsia="仿宋_GB2312" w:cs="仿宋_GB2312" w:hAnsi="仿宋_GB2312" w:hint="eastAsia"/>
          <w:spacing w:val="-6"/>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560" w:lineRule="exact"/>
        <w:ind w:left="0" w:right="0"/>
        <w:jc w:val="right"/>
        <w:textAlignment w:val="auto"/>
        <w:rPr>
          <w:rFonts w:ascii="仿宋_GB2312" w:eastAsia="仿宋_GB2312" w:cs="仿宋_GB2312" w:hAnsi="仿宋_GB2312"/>
          <w:spacing w:val="-6"/>
          <w:sz w:val="32"/>
          <w:szCs w:val="32"/>
          <w:lang w:val="en-US" w:eastAsia="zh-CN"/>
        </w:rPr>
      </w:pPr>
      <w:r>
        <w:rPr>
          <w:rFonts w:ascii="仿宋_GB2312" w:eastAsia="仿宋_GB2312" w:cs="仿宋_GB2312" w:hAnsi="仿宋_GB2312" w:hint="eastAsia"/>
          <w:spacing w:val="-6"/>
          <w:sz w:val="32"/>
          <w:szCs w:val="32"/>
        </w:rPr>
        <w:t xml:space="preserve">  </w:t>
      </w:r>
      <w:r>
        <w:rPr>
          <w:rFonts w:ascii="仿宋_GB2312" w:eastAsia="仿宋_GB2312" w:cs="仿宋_GB2312" w:hAnsi="仿宋_GB2312" w:hint="eastAsia"/>
          <w:spacing w:val="-6"/>
          <w:sz w:val="32"/>
          <w:szCs w:val="32"/>
          <w:lang w:eastAsia="zh-CN"/>
        </w:rPr>
        <w:t>202</w:t>
      </w:r>
      <w:r>
        <w:rPr>
          <w:rFonts w:ascii="仿宋_GB2312" w:eastAsia="仿宋_GB2312" w:cs="仿宋_GB2312" w:hAnsi="仿宋_GB2312" w:hint="eastAsia"/>
          <w:spacing w:val="-6"/>
          <w:sz w:val="32"/>
          <w:szCs w:val="32"/>
          <w:lang w:val="en-US" w:eastAsia="zh-CN"/>
        </w:rPr>
        <w:t>5</w:t>
      </w:r>
      <w:r>
        <w:rPr>
          <w:rFonts w:ascii="仿宋_GB2312" w:eastAsia="仿宋_GB2312" w:cs="仿宋_GB2312" w:hAnsi="仿宋_GB2312" w:hint="eastAsia"/>
          <w:spacing w:val="-6"/>
          <w:sz w:val="32"/>
          <w:szCs w:val="32"/>
        </w:rPr>
        <w:t>年</w:t>
      </w:r>
      <w:r>
        <w:rPr>
          <w:rFonts w:ascii="仿宋_GB2312" w:eastAsia="仿宋_GB2312" w:cs="仿宋_GB2312" w:hAnsi="仿宋_GB2312" w:hint="eastAsia"/>
          <w:spacing w:val="-6"/>
          <w:sz w:val="32"/>
          <w:szCs w:val="32"/>
          <w:lang w:val="en-US" w:eastAsia="zh-CN"/>
        </w:rPr>
        <w:t>11</w:t>
      </w:r>
      <w:r>
        <w:rPr>
          <w:rFonts w:ascii="仿宋_GB2312" w:eastAsia="仿宋_GB2312" w:cs="仿宋_GB2312" w:hAnsi="仿宋_GB2312" w:hint="eastAsia"/>
          <w:spacing w:val="-6"/>
          <w:sz w:val="32"/>
          <w:szCs w:val="32"/>
        </w:rPr>
        <w:t>月</w:t>
      </w:r>
      <w:r>
        <w:rPr>
          <w:rFonts w:ascii="仿宋_GB2312" w:eastAsia="仿宋_GB2312" w:cs="仿宋_GB2312" w:hAnsi="仿宋_GB2312" w:hint="eastAsia"/>
          <w:spacing w:val="-6"/>
          <w:sz w:val="32"/>
          <w:szCs w:val="32"/>
          <w:lang w:val="en-US" w:eastAsia="zh-CN"/>
        </w:rPr>
        <w:t>14</w:t>
      </w:r>
      <w:r>
        <w:rPr>
          <w:rFonts w:ascii="仿宋_GB2312" w:eastAsia="仿宋_GB2312" w:cs="仿宋_GB2312" w:hAnsi="仿宋_GB2312" w:hint="eastAsia"/>
          <w:spacing w:val="-6"/>
          <w:sz w:val="32"/>
          <w:szCs w:val="32"/>
        </w:rPr>
        <w:t>日</w:t>
      </w:r>
      <w:r>
        <w:rPr>
          <w:rFonts w:ascii="仿宋_GB2312" w:eastAsia="仿宋_GB2312" w:cs="仿宋_GB2312" w:hAnsi="仿宋_GB2312" w:hint="eastAsia"/>
          <w:spacing w:val="-6"/>
          <w:sz w:val="32"/>
          <w:szCs w:val="32"/>
          <w:lang w:val="en-US" w:eastAsia="zh-CN"/>
        </w:rPr>
        <w:t xml:space="preserve">         </w:t>
      </w:r>
    </w:p>
    <w:p>
      <w:pPr>
        <w:keepNext w:val="0"/>
        <w:keepLines w:val="0"/>
        <w:pageBreakBefore w:val="0"/>
        <w:widowControl w:val="0"/>
        <w:kinsoku/>
        <w:wordWrap/>
        <w:overflowPunct/>
        <w:topLinePunct w:val="0"/>
        <w:autoSpaceDE/>
        <w:autoSpaceDN/>
        <w:bidi w:val="0"/>
        <w:snapToGrid w:val="0"/>
        <w:spacing w:line="560" w:lineRule="exact"/>
        <w:ind w:left="0" w:right="0"/>
        <w:textAlignment w:val="auto"/>
        <w:rPr>
          <w:rFonts w:ascii="仿宋_GB2312" w:eastAsia="仿宋_GB2312" w:cs="仿宋_GB2312" w:hAnsi="仿宋_GB2312" w:hint="eastAsia"/>
          <w:sz w:val="32"/>
          <w:szCs w:val="32"/>
        </w:rPr>
      </w:pPr>
    </w:p>
    <w:p>
      <w:pPr>
        <w:keepNext w:val="0"/>
        <w:keepLines w:val="0"/>
        <w:pageBreakBefore w:val="0"/>
        <w:widowControl w:val="0"/>
        <w:kinsoku/>
        <w:wordWrap/>
        <w:overflowPunct/>
        <w:topLinePunct w:val="0"/>
        <w:autoSpaceDE/>
        <w:autoSpaceDN/>
        <w:bidi w:val="0"/>
        <w:snapToGrid w:val="0"/>
        <w:spacing w:line="560" w:lineRule="exact"/>
        <w:ind w:left="0" w:right="0"/>
        <w:textAlignment w:val="auto"/>
        <w:rPr>
          <w:rFonts w:ascii="仿宋_GB2312" w:eastAsia="仿宋_GB2312" w:cs="仿宋_GB2312" w:hAnsi="仿宋_GB2312" w:hint="eastAsia"/>
          <w:sz w:val="32"/>
          <w:szCs w:val="32"/>
        </w:rPr>
      </w:pPr>
    </w:p>
    <w:sectPr>
      <w:footerReference w:type="default" r:id="rId2"/>
      <w:pgSz w:w="11906" w:h="16838"/>
      <w:pgMar w:top="2098" w:right="1474" w:bottom="1814" w:left="1587"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方正书宋_GBK"/>
    <w:panose1 w:val="00000000000000000000"/>
    <w:charset w:val="00"/>
    <w:family w:val="auto"/>
    <w:pitch w:val="variable"/>
    <w:sig w:usb0="00000000" w:usb1="00000000" w:usb2="00000000" w:usb3="00000000" w:csb0="00000000" w:csb1="00000000"/>
  </w:font>
  <w:font w:name="仿宋">
    <w:panose1 w:val="02010609060101010101"/>
    <w:charset w:val="86"/>
    <w:family w:val="modern"/>
    <w:pitch w:val="variable"/>
    <w:sig w:usb0="800002BF" w:usb1="38CF7CFA" w:usb2="00000016" w:usb3="00000000" w:csb0="00040001" w:csb1="00000000"/>
  </w:font>
  <w:font w:name="Times New Roman">
    <w:altName w:val="Nimbus Roman No9 L"/>
    <w:panose1 w:val="02020603050405020304"/>
    <w:charset w:val="81"/>
    <w:family w:val="auto"/>
    <w:pitch w:val="variable"/>
    <w:sig w:usb0="00000000" w:usb1="00000000" w:usb2="00000009" w:usb3="00000000" w:csb0="400001FF" w:csb1="FFFF0000"/>
  </w:font>
  <w:font w:name="仿宋_GB2312">
    <w:panose1 w:val="02010609030101010101"/>
    <w:charset w:val="86"/>
    <w:family w:val="auto"/>
    <w:pitch w:val="variable"/>
    <w:sig w:usb0="00000001" w:usb1="080E0000" w:usb2="00000000" w:usb3="00000000" w:csb0="00040000" w:csb1="00000000"/>
  </w:font>
  <w:font w:name="方正小标宋简体">
    <w:panose1 w:val="02000000000000000000"/>
    <w:charset w:val="86"/>
    <w:family w:val="auto"/>
    <w:pitch w:val="variable"/>
    <w:sig w:usb0="A00002BF" w:usb1="184F6CFA" w:usb2="00000012" w:usb3="00000000" w:csb0="00040001" w:csb1="00000000"/>
  </w:font>
  <w:font w:name="Arial">
    <w:altName w:val="Nimbus Roman No9 L"/>
    <w:panose1 w:val="020B0604020202020204"/>
    <w:charset w:val="01"/>
    <w:family w:val="swiss"/>
    <w:pitch w:val="variable"/>
    <w:sig w:usb0="E0002AFF" w:usb1="C0007843" w:usb2="00000009" w:usb3="00000000" w:csb0="400001FF" w:csb1="FFFF0000"/>
  </w:font>
  <w:font w:name="Calibri">
    <w:altName w:val="Nimbus Roman No9 L"/>
    <w:panose1 w:val="020F0502020204030204"/>
    <w:charset w:val="00"/>
    <w:family w:val="swiss"/>
    <w:pitch w:val="variable"/>
    <w:sig w:usb0="00000000" w:usb1="00000000" w:usb2="00000001" w:usb3="00000000" w:csb0="0000019F" w:csb1="0000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outside</wp:align>
              </wp:positionH>
              <wp:positionV relativeFrom="paragraph">
                <wp:posOffset>0</wp:posOffset>
              </wp:positionV>
              <wp:extent cx="444499" cy="230251"/>
              <wp:effectExtent l="0" t="0" r="0" b="0"/>
              <wp:wrapNone/>
              <wp:docPr id="1" name="文本框 1"/>
              <wp:cNvGraphicFramePr>
                <a:graphicFrameLocks noChangeAspect="0"/>
              </wp:cNvGraphicFramePr>
              <a:graphic>
                <a:graphicData uri="http://schemas.microsoft.com/office/word/2010/wordprocessingShape">
                  <wps:wsp>
                    <wps:cNvSpPr/>
                    <wps:spPr>
                      <a:xfrm rot="0">
                        <a:off x="0" y="0"/>
                        <a:ext cx="444499" cy="230251"/>
                      </a:xfrm>
                      <a:prstGeom prst="rect"/>
                      <a:noFill/>
                      <a:ln w="6350" cmpd="sng" cap="flat">
                        <a:noFill/>
                        <a:prstDash val="solid"/>
                        <a:round/>
                      </a:ln>
                    </wps:spPr>
                    <wps:txbx id="2">
                      <w:txbxContent>
                        <w:p>
                          <w:pPr>
                            <w:pStyle w:val="19"/>
                            <w:tabs>
                              <w:tab w:val="center" w:pos="4153"/>
                              <w:tab w:val="right" w:pos="8306"/>
                            </w:tabs>
                            <w:rPr>
                              <w:rFonts w:ascii="宋体" w:eastAsia="宋体" w:cs="宋体" w:hAnsi="宋体" w:hint="eastAsia"/>
                              <w:sz w:val="28"/>
                              <w:szCs w:val="28"/>
                            </w:rPr>
                          </w:pPr>
                          <w:r>
                            <w:rPr>
                              <w:rFonts w:ascii="宋体" w:eastAsia="宋体" w:cs="宋体" w:hAnsi="宋体" w:hint="eastAsia"/>
                              <w:sz w:val="28"/>
                              <w:szCs w:val="28"/>
                            </w:rPr>
                            <w:fldChar w:fldCharType="begin"/>
                          </w:r>
                          <w:r>
                            <w:rPr>
                              <w:rFonts w:ascii="宋体" w:eastAsia="宋体" w:cs="宋体" w:hAnsi="宋体" w:hint="eastAsia"/>
                              <w:sz w:val="28"/>
                              <w:szCs w:val="28"/>
                            </w:rPr>
                            <w:instrText xml:space="preserve"> PAGE  \* MERGEFORMAT </w:instrText>
                          </w:r>
                          <w:r>
                            <w:rPr>
                              <w:rFonts w:ascii="宋体" w:eastAsia="宋体" w:cs="宋体" w:hAnsi="宋体" w:hint="eastAsia"/>
                              <w:sz w:val="28"/>
                              <w:szCs w:val="28"/>
                            </w:rPr>
                            <w:fldChar w:fldCharType="separate"/>
                          </w:r>
                          <w:r>
                            <w:rPr>
                              <w:rFonts w:ascii="宋体" w:eastAsia="宋体" w:cs="宋体" w:hAnsi="宋体" w:hint="eastAsia"/>
                              <w:sz w:val="28"/>
                              <w:szCs w:val="28"/>
                            </w:rPr>
                            <w:t>1</w:t>
                          </w:r>
                          <w:r>
                            <w:rPr>
                              <w:rFonts w:ascii="宋体" w:eastAsia="宋体" w:cs="宋体" w:hAnsi="宋体" w:hint="eastAsia"/>
                              <w:sz w:val="28"/>
                              <w:szCs w:val="28"/>
                            </w:rPr>
                            <w:fldChar w:fldCharType="end"/>
                          </w:r>
                        </w:p>
                      </w:txbxContent>
                    </wps:txbx>
                    <wps:bodyPr vert="horz" wrap="none" lIns="0" tIns="0" rIns="0" bIns="0" anchor="t" anchorCtr="0" upright="0">
                      <a:spAutoFit/>
                    </wps:bodyPr>
                  </wps:wsp>
                </a:graphicData>
              </a:graphic>
            </wp:anchor>
          </w:drawing>
        </mc:Choice>
        <mc:Fallback>
          <w:pict>
            <v:shape type="#_x0000_t202" id="文本框 1 3" o:spid="_x0000_s3" filled="f" stroked="f" strokeweight="0.5pt" style="position:absolute;margin-left:0.0pt;margin-top:0.0pt;width:34.999985pt;height:18.130003pt;z-index:12;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9"/>
                      <w:tabs>
                        <w:tab w:val="center" w:pos="4153"/>
                        <w:tab w:val="right" w:pos="8306"/>
                      </w:tabs>
                      <w:rPr>
                        <w:rFonts w:ascii="宋体" w:eastAsia="宋体" w:cs="宋体" w:hAnsi="宋体" w:hint="eastAsia"/>
                        <w:sz w:val="28"/>
                        <w:szCs w:val="28"/>
                      </w:rPr>
                    </w:pPr>
                    <w:r>
                      <w:rPr>
                        <w:rFonts w:ascii="宋体" w:eastAsia="宋体" w:cs="宋体" w:hAnsi="宋体" w:hint="eastAsia"/>
                        <w:sz w:val="28"/>
                        <w:szCs w:val="28"/>
                      </w:rPr>
                      <w:fldChar w:fldCharType="begin"/>
                    </w:r>
                    <w:r>
                      <w:rPr>
                        <w:rFonts w:ascii="宋体" w:eastAsia="宋体" w:cs="宋体" w:hAnsi="宋体" w:hint="eastAsia"/>
                        <w:sz w:val="28"/>
                        <w:szCs w:val="28"/>
                      </w:rPr>
                      <w:instrText xml:space="preserve"> PAGE  \* MERGEFORMAT </w:instrText>
                    </w:r>
                    <w:r>
                      <w:rPr>
                        <w:rFonts w:ascii="宋体" w:eastAsia="宋体" w:cs="宋体" w:hAnsi="宋体" w:hint="eastAsia"/>
                        <w:sz w:val="28"/>
                        <w:szCs w:val="28"/>
                      </w:rPr>
                      <w:fldChar w:fldCharType="separate"/>
                    </w:r>
                    <w:r>
                      <w:rPr>
                        <w:rFonts w:ascii="宋体" w:eastAsia="宋体" w:cs="宋体" w:hAnsi="宋体" w:hint="eastAsia"/>
                        <w:sz w:val="28"/>
                        <w:szCs w:val="28"/>
                      </w:rPr>
                      <w:t>1</w:t>
                    </w:r>
                    <w:r>
                      <w:rPr>
                        <w:rFonts w:ascii="宋体" w:eastAsia="宋体" w:cs="宋体" w:hAnsi="宋体" w:hint="eastAsia"/>
                        <w:sz w:val="28"/>
                        <w:szCs w:val="28"/>
                      </w:rPr>
                      <w:fldChar w:fldCharType="end"/>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ODZlYmQwZDlkNmViYjQ2ZmZiMDlmZTkwZjUyNWZlNjA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Calibri" w:eastAsia="宋体" w:cs="Arial" w:hAnsi="Times New Roman"/>
      <w:kern w:val="2"/>
      <w:sz w:val="21"/>
      <w:szCs w:val="22"/>
      <w:lang w:val="en-US" w:eastAsia="zh-CN" w:bidi="ar-SA"/>
    </w:rPr>
  </w:style>
  <w:style w:type="paragraph" w:styleId="1">
    <w:name w:val="heading 1"/>
    <w:basedOn w:val="0"/>
    <w:next w:val="0"/>
    <w:pPr>
      <w:pBdr>
        <w:top w:val="none" w:sz="0" w:space="0" w:color="auto"/>
        <w:left w:val="none" w:sz="0" w:space="0" w:color="auto"/>
        <w:bottom w:val="none" w:sz="0" w:space="0" w:color="auto"/>
        <w:right w:val="none" w:sz="0" w:space="0" w:color="auto"/>
      </w:pBdr>
      <w:spacing w:before="0" w:beforeAutospacing="0" w:after="0" w:afterAutospacing="0"/>
      <w:ind w:left="0" w:right="0"/>
      <w:jc w:val="left"/>
      <w:outlineLvl w:val="0"/>
    </w:pPr>
    <w:rPr>
      <w:rFonts w:ascii="宋体" w:eastAsia="宋体" w:cs="宋体" w:hAnsi="宋体"/>
      <w:b/>
      <w:bCs/>
      <w:kern w:val="44"/>
      <w:sz w:val="48"/>
      <w:szCs w:val="48"/>
      <w:lang w:val="en-US" w:eastAsia="zh-CN"/>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paragraph" w:styleId="4">
    <w:name w:val="heading 4"/>
    <w:basedOn w:val="0"/>
    <w:next w:val="0"/>
    <w:pPr>
      <w:keepNext/>
      <w:keepLines/>
      <w:widowControl w:val="0"/>
      <w:spacing w:line="500" w:lineRule="exact"/>
      <w:outlineLvl w:val="3"/>
    </w:pPr>
    <w:rPr>
      <w:rFonts w:ascii="Arial" w:cs="宋体" w:hAnsi="Arial"/>
      <w:b/>
      <w:szCs w:val="24"/>
    </w:rPr>
  </w:style>
  <w:style w:type="character" w:default="1" w:styleId="10">
    <w:name w:val="Default Paragraph Font"/>
  </w:style>
  <w:style w:type="paragraph" w:styleId="15">
    <w:name w:val="Normal Indent"/>
    <w:basedOn w:val="0"/>
    <w:next w:val="4"/>
    <w:pPr>
      <w:adjustRightInd w:val="0"/>
      <w:snapToGrid w:val="0"/>
      <w:spacing w:line="360" w:lineRule="auto"/>
    </w:pPr>
    <w:rPr>
      <w:sz w:val="24"/>
    </w:rPr>
  </w:style>
  <w:style w:type="paragraph" w:styleId="16">
    <w:name w:val="Body Text"/>
    <w:basedOn w:val="0"/>
    <w:next w:val="17"/>
    <w:pPr>
      <w:spacing w:line="240" w:lineRule="atLeast"/>
    </w:pPr>
    <w:rPr>
      <w:sz w:val="28"/>
    </w:rPr>
  </w:style>
  <w:style w:type="paragraph" w:customStyle="1" w:styleId="17">
    <w:name w:val="默认段落"/>
    <w:pPr>
      <w:widowControl w:val="0"/>
      <w:jc w:val="both"/>
    </w:pPr>
    <w:rPr>
      <w:rFonts w:ascii="Calibri" w:eastAsia="宋体" w:cs="Times New Roman" w:hAnsi="Calibri"/>
      <w:kern w:val="2"/>
      <w:sz w:val="21"/>
      <w:szCs w:val="20"/>
      <w:lang w:val="en-US" w:eastAsia="zh-CN" w:bidi="ar-SA"/>
    </w:rPr>
  </w:style>
  <w:style w:type="paragraph" w:styleId="18">
    <w:name w:val="Balloon Text"/>
    <w:basedOn w:val="0"/>
    <w:rPr>
      <w:kern w:val="0"/>
      <w:sz w:val="18"/>
      <w:szCs w:val="20"/>
    </w:rPr>
  </w:style>
  <w:style w:type="paragraph" w:styleId="19">
    <w:name w:val="footer"/>
    <w:basedOn w:val="0"/>
    <w:pPr>
      <w:tabs>
        <w:tab w:val="center" w:pos="4153"/>
        <w:tab w:val="right" w:pos="8306"/>
      </w:tabs>
      <w:snapToGrid w:val="0"/>
      <w:jc w:val="left"/>
    </w:pPr>
    <w:rPr>
      <w:sz w:val="18"/>
    </w:rPr>
  </w:style>
  <w:style w:type="paragraph" w:styleId="20">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21">
    <w:name w:val="toc 1"/>
    <w:basedOn w:val="0"/>
    <w:next w:val="0"/>
    <w:pPr>
      <w:adjustRightInd w:val="0"/>
      <w:snapToGrid w:val="0"/>
      <w:spacing w:line="280" w:lineRule="exact"/>
      <w:jc w:val="center"/>
    </w:pPr>
    <w:rPr>
      <w:sz w:val="24"/>
      <w:szCs w:val="20"/>
    </w:rPr>
  </w:style>
  <w:style w:type="paragraph" w:styleId="22">
    <w:name w:val="Body Text First Indent"/>
    <w:basedOn w:val="16"/>
    <w:pPr>
      <w:spacing w:after="120"/>
      <w:ind w:firstLineChars="100" w:firstLine="100"/>
    </w:pPr>
    <w:rPr>
      <w:sz w:val="21"/>
      <w:szCs w:val="24"/>
    </w:rPr>
  </w:style>
  <w:style w:type="character" w:styleId="23">
    <w:name w:val="FollowedHyperlink"/>
    <w:basedOn w:val="10"/>
    <w:rPr>
      <w:color w:val="000000"/>
      <w:u w:val="none"/>
    </w:rPr>
  </w:style>
  <w:style w:type="character" w:styleId="24">
    <w:name w:val="Emphasis"/>
    <w:basedOn w:val="10"/>
  </w:style>
  <w:style w:type="character" w:styleId="25">
    <w:name w:val="Hyperlink"/>
    <w:basedOn w:val="10"/>
    <w:rPr>
      <w:color w:val="000000"/>
      <w:u w:val="none"/>
    </w:rPr>
  </w:style>
  <w:style w:type="paragraph" w:customStyle="1" w:styleId="26">
    <w:name w:val="标题 段落4级"/>
    <w:pPr>
      <w:spacing w:line="500" w:lineRule="exact"/>
      <w:outlineLvl w:val="3"/>
    </w:pPr>
    <w:rPr>
      <w:rFonts w:ascii="Times New Roman" w:eastAsia="仿宋_GB2312" w:cs="Calibri" w:hAnsi="Times New Roman"/>
      <w:b/>
      <w:kern w:val="2"/>
      <w:sz w:val="28"/>
      <w:szCs w:val="24"/>
      <w:lang w:val="en-US" w:eastAsia="zh-CN" w:bidi="ar-SA"/>
    </w:rPr>
  </w:style>
  <w:style w:type="paragraph" w:customStyle="1" w:styleId="27">
    <w:name w:val="Default"/>
    <w:basedOn w:val="26"/>
    <w:pPr>
      <w:widowControl w:val="0"/>
      <w:autoSpaceDE w:val="0"/>
      <w:autoSpaceDN w:val="0"/>
      <w:adjustRightInd w:val="0"/>
    </w:pPr>
    <w:rPr>
      <w:color w:val="000000"/>
      <w:sz w:val="24"/>
      <w:szCs w:val="24"/>
      <w:lang w:val="en-US" w:eastAsia="zh-CN" w:bidi="ar-SA"/>
    </w:rPr>
  </w:style>
  <w:style w:type="character" w:customStyle="1" w:styleId="28">
    <w:name w:val="NormalCharacter"/>
    <w:rPr>
      <w:rFonts w:ascii="Times New Roman" w:eastAsia="宋体" w:hAnsi="Times New Roman"/>
    </w:rPr>
  </w:style>
  <w:style w:type="character" w:customStyle="1" w:styleId="29">
    <w:name w:val="cur1"/>
    <w:basedOn w:val="10"/>
    <w:rPr>
      <w:color w:val="FFFFFF"/>
      <w:shd w:val="clear" w:color="auto" w:fill="2F6B98"/>
    </w:rPr>
  </w:style>
  <w:style w:type="character" w:customStyle="1" w:styleId="30">
    <w:name w:val="znspantitle"/>
    <w:basedOn w:val="10"/>
    <w:rPr>
      <w:b/>
      <w:bCs/>
      <w:color w:val="333333"/>
    </w:rPr>
  </w:style>
  <w:style w:type="character" w:customStyle="1" w:styleId="31">
    <w:name w:val="lable"/>
    <w:basedOn w:val="10"/>
    <w:rPr>
      <w:sz w:val="24"/>
      <w:szCs w:val="24"/>
    </w:rPr>
  </w:style>
  <w:style w:type="character" w:customStyle="1" w:styleId="32">
    <w:name w:val="lishishuju"/>
    <w:basedOn w:val="10"/>
    <w:rPr>
      <w:b/>
      <w:bCs/>
      <w:color w:val="000052"/>
      <w:sz w:val="24"/>
      <w:szCs w:val="24"/>
      <w:bdr w:val="single" w:sz="6" w:space="0" w:color="E3E3E3"/>
    </w:rPr>
  </w:style>
  <w:style w:type="character" w:customStyle="1" w:styleId="33">
    <w:name w:val="radio-btn"/>
    <w:basedOn w:val="10"/>
    <w:rPr>
      <w:sz w:val="24"/>
      <w:szCs w:val="24"/>
    </w:rPr>
  </w:style>
  <w:style w:type="character" w:customStyle="1" w:styleId="34">
    <w:name w:val="radio-btn1"/>
    <w:basedOn w:val="10"/>
    <w:rPr>
      <w:sz w:val="24"/>
      <w:szCs w:val="24"/>
    </w:rPr>
  </w:style>
  <w:style w:type="character" w:customStyle="1" w:styleId="35">
    <w:name w:val="radio-btn2"/>
    <w:basedOn w:val="10"/>
    <w:rPr>
      <w:sz w:val="24"/>
      <w:szCs w:val="24"/>
    </w:rPr>
  </w:style>
  <w:style w:type="paragraph" w:customStyle="1" w:styleId="36">
    <w:name w:val="样式 四号 左侧:  1.53 厘米"/>
    <w:basedOn w:val="0"/>
    <w:pPr>
      <w:adjustRightInd w:val="0"/>
    </w:pPr>
    <w:rPr>
      <w:w w:val="90"/>
      <w:sz w:val="28"/>
      <w:szCs w:val="28"/>
    </w:rPr>
  </w:style>
  <w:style w:type="paragraph" w:customStyle="1" w:styleId="37">
    <w:name w:val="样式 样式 四号 左侧:  1.53 厘米 + 首行缩进:  2 字符"/>
    <w:basedOn w:val="36"/>
    <w:pPr>
      <w:ind w:leftChars="200" w:left="200"/>
    </w:pPr>
    <w:rPr>
      <w:szCs w:val="20"/>
    </w:rPr>
  </w:style>
  <w:style w:type="paragraph" w:customStyle="1" w:styleId="38">
    <w:name w:val="样式 样式 样式 四号 左侧:  1.53 厘米 + 首行缩进:  2 字符 + 居中 左侧:  2 字符 首行缩进:  2..."/>
    <w:basedOn w:val="37"/>
    <w:pPr>
      <w:jc w:val="center"/>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9B7D4B1D-F877-441F-A0DA-B8A59888E860}">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TotalTime>
  <Application>Yozo_Office27021597764231179</Application>
  <Pages>6</Pages>
  <Words>0</Words>
  <Characters>2323</Characters>
  <Lines>0</Lines>
  <Paragraphs>43</Paragraphs>
  <CharactersWithSpaces>3098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w's'd</dc:creator>
  <cp:lastModifiedBy>Administrator</cp:lastModifiedBy>
  <cp:revision>1</cp:revision>
  <cp:lastPrinted>2025-07-31T01:10:00Z</cp:lastPrinted>
  <dcterms:created xsi:type="dcterms:W3CDTF">2021-04-03T01:03:00Z</dcterms:created>
  <dcterms:modified xsi:type="dcterms:W3CDTF">2025-11-14T08:58:56Z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2052-12.8.2.1119</vt:lpwstr>
  </property>
  <property fmtid="{D5CDD505-2E9C-101B-9397-08002B2CF9AE}" pid="3" name="ICV">
    <vt:lpwstr>71F3371915296D71FF42156961DD114C_43</vt:lpwstr>
  </property>
</Properties>
</file>