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86BE5">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hAnsi="仿宋" w:eastAsia="仿宋" w:cs="Times New Roman"/>
          <w:b/>
          <w:bCs/>
          <w:kern w:val="0"/>
          <w:sz w:val="44"/>
          <w:szCs w:val="44"/>
        </w:rPr>
      </w:pPr>
      <w:r>
        <w:rPr>
          <w:rFonts w:hint="eastAsia" w:ascii="仿宋" w:hAnsi="仿宋" w:eastAsia="仿宋" w:cs="Times New Roman"/>
          <w:sz w:val="32"/>
          <w:szCs w:val="32"/>
        </w:rPr>
        <w:t xml:space="preserve">     </w:t>
      </w:r>
    </w:p>
    <w:p w14:paraId="059A7268">
      <w:pPr>
        <w:keepNext w:val="0"/>
        <w:keepLines w:val="0"/>
        <w:pageBreakBefore w:val="0"/>
        <w:widowControl w:val="0"/>
        <w:kinsoku/>
        <w:wordWrap/>
        <w:overflowPunct/>
        <w:topLinePunct w:val="0"/>
        <w:autoSpaceDE/>
        <w:autoSpaceDN/>
        <w:bidi w:val="0"/>
        <w:adjustRightInd/>
        <w:snapToGrid/>
        <w:spacing w:before="156" w:beforeLines="50" w:after="157" w:afterLines="50" w:line="560" w:lineRule="exact"/>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秦审批环准许〔</w:t>
      </w:r>
      <w:r>
        <w:rPr>
          <w:rFonts w:hint="eastAsia" w:ascii="Times New Roman" w:hAnsi="Times New Roman" w:eastAsia="仿宋_GB2312" w:cs="仿宋_GB2312"/>
          <w:color w:val="auto"/>
          <w:sz w:val="32"/>
          <w:szCs w:val="32"/>
          <w:lang w:eastAsia="zh-CN"/>
        </w:rPr>
        <w:t>202</w:t>
      </w:r>
      <w:r>
        <w:rPr>
          <w:rFonts w:hint="default"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〕0</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-00</w:t>
      </w:r>
      <w:r>
        <w:rPr>
          <w:rFonts w:hint="default" w:ascii="Times New Roman" w:hAnsi="Times New Roman" w:eastAsia="仿宋_GB2312" w:cs="仿宋_GB2312"/>
          <w:color w:val="auto"/>
          <w:sz w:val="32"/>
          <w:szCs w:val="32"/>
          <w:lang w:val="en-US" w:eastAsia="zh-CN"/>
        </w:rPr>
        <w:t>40</w:t>
      </w:r>
      <w:r>
        <w:rPr>
          <w:rFonts w:hint="eastAsia" w:ascii="Times New Roman" w:hAnsi="Times New Roman" w:eastAsia="仿宋_GB2312" w:cs="仿宋_GB2312"/>
          <w:color w:val="auto"/>
          <w:sz w:val="32"/>
          <w:szCs w:val="32"/>
        </w:rPr>
        <w:t>号</w:t>
      </w:r>
    </w:p>
    <w:p w14:paraId="304625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关于</w:t>
      </w:r>
      <w:r>
        <w:rPr>
          <w:rFonts w:hint="default" w:ascii="方正小标宋简体" w:hAnsi="方正小标宋简体" w:eastAsia="方正小标宋简体" w:cs="方正小标宋简体"/>
          <w:kern w:val="44"/>
          <w:sz w:val="44"/>
          <w:szCs w:val="44"/>
          <w:lang w:val="en-US" w:eastAsia="zh-CN"/>
        </w:rPr>
        <w:t>秦皇岛得高钙业</w:t>
      </w:r>
      <w:bookmarkStart w:id="0" w:name="_GoBack"/>
      <w:bookmarkEnd w:id="0"/>
      <w:r>
        <w:rPr>
          <w:rFonts w:hint="default" w:ascii="方正小标宋简体" w:hAnsi="方正小标宋简体" w:eastAsia="方正小标宋简体" w:cs="方正小标宋简体"/>
          <w:kern w:val="44"/>
          <w:sz w:val="44"/>
          <w:szCs w:val="44"/>
          <w:lang w:val="en-US" w:eastAsia="zh-CN"/>
        </w:rPr>
        <w:t>有限公司年产3万吨氢氧化钙生产线项目</w:t>
      </w:r>
      <w:r>
        <w:rPr>
          <w:rFonts w:hint="eastAsia" w:ascii="方正小标宋简体" w:hAnsi="方正小标宋简体" w:eastAsia="方正小标宋简体" w:cs="方正小标宋简体"/>
          <w:kern w:val="44"/>
          <w:sz w:val="44"/>
          <w:szCs w:val="44"/>
        </w:rPr>
        <w:t>环境影响报告表的批复</w:t>
      </w:r>
    </w:p>
    <w:p w14:paraId="2CEF44C8">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仿宋" w:hAnsi="仿宋" w:eastAsia="仿宋" w:cs="Times New Roman"/>
          <w:sz w:val="32"/>
          <w:szCs w:val="32"/>
          <w:lang w:eastAsia="zh-CN"/>
        </w:rPr>
      </w:pPr>
    </w:p>
    <w:p w14:paraId="240421D0">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秦皇岛得高钙业有限公司</w:t>
      </w:r>
      <w:r>
        <w:rPr>
          <w:rFonts w:hint="eastAsia" w:ascii="仿宋_GB2312" w:hAnsi="仿宋_GB2312" w:eastAsia="仿宋_GB2312" w:cs="仿宋_GB2312"/>
          <w:sz w:val="32"/>
          <w:szCs w:val="32"/>
        </w:rPr>
        <w:t>：</w:t>
      </w:r>
    </w:p>
    <w:p w14:paraId="5ED418A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所</w:t>
      </w:r>
      <w:r>
        <w:rPr>
          <w:rFonts w:hint="eastAsia" w:ascii="仿宋_GB2312" w:hAnsi="仿宋_GB2312" w:eastAsia="仿宋_GB2312" w:cs="仿宋_GB2312"/>
          <w:sz w:val="32"/>
          <w:szCs w:val="32"/>
        </w:rPr>
        <w:t>报《</w:t>
      </w:r>
      <w:r>
        <w:rPr>
          <w:rFonts w:hint="default" w:ascii="仿宋_GB2312" w:hAnsi="仿宋_GB2312" w:eastAsia="仿宋_GB2312" w:cs="仿宋_GB2312"/>
          <w:sz w:val="32"/>
          <w:szCs w:val="32"/>
          <w:lang w:val="en-US" w:eastAsia="zh-CN"/>
        </w:rPr>
        <w:t>年产3万吨氢氧化钙生产线项目</w:t>
      </w:r>
      <w:r>
        <w:rPr>
          <w:rFonts w:hint="eastAsia" w:ascii="仿宋_GB2312" w:hAnsi="仿宋_GB2312" w:eastAsia="仿宋_GB2312" w:cs="仿宋_GB2312"/>
          <w:sz w:val="32"/>
          <w:szCs w:val="32"/>
        </w:rPr>
        <w:t>环境影响报告表》（以下简称《报告表》）</w:t>
      </w:r>
      <w:r>
        <w:rPr>
          <w:rFonts w:hint="eastAsia" w:ascii="仿宋_GB2312" w:hAnsi="仿宋_GB2312" w:eastAsia="仿宋_GB2312" w:cs="仿宋_GB2312"/>
          <w:color w:val="000000"/>
          <w:sz w:val="32"/>
          <w:szCs w:val="32"/>
          <w:shd w:val="clear" w:color="auto" w:fill="FFFFFF"/>
        </w:rPr>
        <w:t>审批申请</w:t>
      </w:r>
      <w:r>
        <w:rPr>
          <w:rFonts w:hint="eastAsia" w:ascii="仿宋_GB2312" w:hAnsi="仿宋_GB2312" w:eastAsia="仿宋_GB2312" w:cs="仿宋_GB2312"/>
          <w:sz w:val="32"/>
          <w:szCs w:val="32"/>
        </w:rPr>
        <w:t>及相关材料</w:t>
      </w:r>
      <w:r>
        <w:rPr>
          <w:rFonts w:hint="eastAsia" w:ascii="仿宋_GB2312" w:hAnsi="仿宋_GB2312" w:eastAsia="仿宋_GB2312" w:cs="仿宋_GB2312"/>
          <w:color w:val="000000"/>
          <w:kern w:val="0"/>
          <w:sz w:val="32"/>
          <w:szCs w:val="32"/>
        </w:rPr>
        <w:t>收悉。</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kern w:val="0"/>
          <w:sz w:val="32"/>
          <w:szCs w:val="32"/>
          <w:lang w:val="en-US" w:eastAsia="zh-CN"/>
        </w:rPr>
        <w:t>环境影响</w:t>
      </w:r>
      <w:r>
        <w:rPr>
          <w:rFonts w:hint="eastAsia" w:ascii="仿宋_GB2312" w:hAnsi="仿宋_GB2312" w:eastAsia="仿宋_GB2312" w:cs="仿宋_GB2312"/>
          <w:color w:val="auto"/>
          <w:kern w:val="0"/>
          <w:sz w:val="32"/>
          <w:szCs w:val="32"/>
        </w:rPr>
        <w:t>报告</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结论、</w:t>
      </w:r>
      <w:r>
        <w:rPr>
          <w:rFonts w:hint="eastAsia" w:ascii="仿宋_GB2312" w:hAnsi="仿宋_GB2312" w:eastAsia="仿宋_GB2312" w:cs="仿宋_GB2312"/>
          <w:color w:val="auto"/>
          <w:kern w:val="0"/>
          <w:sz w:val="32"/>
          <w:szCs w:val="32"/>
          <w:lang w:eastAsia="zh-CN"/>
        </w:rPr>
        <w:t>评估</w:t>
      </w:r>
      <w:r>
        <w:rPr>
          <w:rFonts w:hint="eastAsia" w:ascii="仿宋_GB2312" w:hAnsi="仿宋_GB2312" w:eastAsia="仿宋_GB2312" w:cs="仿宋_GB2312"/>
          <w:color w:val="auto"/>
          <w:kern w:val="0"/>
          <w:sz w:val="32"/>
          <w:szCs w:val="32"/>
        </w:rPr>
        <w:t>意见</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kern w:val="0"/>
          <w:sz w:val="32"/>
          <w:szCs w:val="32"/>
        </w:rPr>
        <w:t>环境影响特点及</w:t>
      </w:r>
      <w:r>
        <w:rPr>
          <w:rFonts w:hint="eastAsia" w:ascii="仿宋_GB2312" w:hAnsi="仿宋_GB2312" w:eastAsia="仿宋_GB2312" w:cs="仿宋_GB2312"/>
          <w:color w:val="auto"/>
          <w:kern w:val="0"/>
          <w:sz w:val="32"/>
          <w:szCs w:val="32"/>
          <w:lang w:val="en-US" w:eastAsia="zh-CN"/>
        </w:rPr>
        <w:t>公示反馈等方面情况</w:t>
      </w:r>
      <w:r>
        <w:rPr>
          <w:rFonts w:hint="eastAsia" w:ascii="仿宋_GB2312" w:hAnsi="仿宋_GB2312" w:eastAsia="仿宋_GB2312" w:cs="仿宋_GB2312"/>
          <w:color w:val="auto"/>
          <w:kern w:val="0"/>
          <w:sz w:val="32"/>
          <w:szCs w:val="32"/>
        </w:rPr>
        <w:t xml:space="preserve">，经研究，现批复如下： </w:t>
      </w:r>
    </w:p>
    <w:p w14:paraId="684871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项目建设内容和总体要求</w:t>
      </w:r>
    </w:p>
    <w:p w14:paraId="6158564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该项目位于本项目位于秦皇岛市卢龙县石门镇武山，秦皇岛得高钙业有限公司现有厂区内，为改建项目，</w:t>
      </w:r>
      <w:r>
        <w:rPr>
          <w:rFonts w:hint="eastAsia" w:ascii="仿宋_GB2312" w:hAnsi="仿宋_GB2312" w:eastAsia="仿宋_GB2312" w:cs="仿宋_GB2312"/>
          <w:color w:val="auto"/>
          <w:sz w:val="32"/>
          <w:szCs w:val="32"/>
        </w:rPr>
        <w:t>项目主要建设内容：</w:t>
      </w:r>
      <w:r>
        <w:rPr>
          <w:rFonts w:hint="eastAsia" w:ascii="仿宋_GB2312" w:hAnsi="仿宋_GB2312" w:eastAsia="仿宋_GB2312" w:cs="仿宋_GB2312"/>
          <w:color w:val="auto"/>
          <w:sz w:val="32"/>
          <w:szCs w:val="32"/>
          <w:lang w:val="en-US" w:eastAsia="zh-CN"/>
        </w:rPr>
        <w:t>根据企业发展规划以及当前市场需求等客观因素，对所生产的氧化钙进行深加工，增加一条3万吨/年氢氧化钙生产线。</w:t>
      </w:r>
    </w:p>
    <w:p w14:paraId="444E4B4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本项目利用现有产品进行加工生产氢氧化钙，并削减现有工程1车间的部分产能，最终全厂产品产能依旧为氢氧化钙、氧化钙共18万吨/年。</w:t>
      </w:r>
      <w:r>
        <w:rPr>
          <w:rFonts w:hint="eastAsia" w:ascii="仿宋_GB2312" w:hAnsi="仿宋_GB2312" w:eastAsia="仿宋_GB2312" w:cs="仿宋_GB2312"/>
          <w:b w:val="0"/>
          <w:bCs w:val="0"/>
          <w:color w:val="auto"/>
          <w:sz w:val="32"/>
          <w:szCs w:val="32"/>
          <w:lang w:eastAsia="zh-CN"/>
        </w:rPr>
        <w:t>项目总投资</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00万元，其中环保投资</w:t>
      </w:r>
      <w:r>
        <w:rPr>
          <w:rFonts w:hint="eastAsia" w:ascii="仿宋_GB2312" w:hAnsi="仿宋_GB2312" w:eastAsia="仿宋_GB2312" w:cs="仿宋_GB2312"/>
          <w:b w:val="0"/>
          <w:bCs w:val="0"/>
          <w:color w:val="auto"/>
          <w:sz w:val="32"/>
          <w:szCs w:val="32"/>
          <w:lang w:val="en-US" w:eastAsia="zh-CN"/>
        </w:rPr>
        <w:t>35</w:t>
      </w:r>
      <w:r>
        <w:rPr>
          <w:rFonts w:hint="eastAsia" w:ascii="仿宋_GB2312" w:hAnsi="仿宋_GB2312" w:eastAsia="仿宋_GB2312" w:cs="仿宋_GB2312"/>
          <w:b w:val="0"/>
          <w:bCs w:val="0"/>
          <w:color w:val="auto"/>
          <w:sz w:val="32"/>
          <w:szCs w:val="32"/>
          <w:lang w:eastAsia="zh-CN"/>
        </w:rPr>
        <w:t>万元，占总投资的</w:t>
      </w:r>
      <w:r>
        <w:rPr>
          <w:rFonts w:hint="eastAsia" w:ascii="仿宋_GB2312" w:hAnsi="仿宋_GB2312" w:eastAsia="仿宋_GB2312" w:cs="仿宋_GB2312"/>
          <w:b w:val="0"/>
          <w:bCs w:val="0"/>
          <w:color w:val="auto"/>
          <w:sz w:val="32"/>
          <w:szCs w:val="32"/>
          <w:lang w:val="en-US" w:eastAsia="zh-CN"/>
        </w:rPr>
        <w:t>11.67</w:t>
      </w:r>
      <w:r>
        <w:rPr>
          <w:rFonts w:hint="eastAsia" w:ascii="仿宋_GB2312" w:hAnsi="仿宋_GB2312" w:eastAsia="仿宋_GB2312" w:cs="仿宋_GB2312"/>
          <w:b w:val="0"/>
          <w:bCs w:val="0"/>
          <w:color w:val="auto"/>
          <w:sz w:val="32"/>
          <w:szCs w:val="32"/>
          <w:lang w:eastAsia="zh-CN"/>
        </w:rPr>
        <w:t>%。</w:t>
      </w:r>
    </w:p>
    <w:p w14:paraId="1E74CA3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kern w:val="0"/>
          <w:sz w:val="32"/>
          <w:szCs w:val="32"/>
        </w:rPr>
        <w:t>项目不属于《产业结构调整指导目录》（2024年本）限制、淘汰类；</w:t>
      </w:r>
      <w:r>
        <w:rPr>
          <w:rFonts w:hint="eastAsia" w:ascii="仿宋_GB2312" w:hAnsi="仿宋_GB2312" w:eastAsia="仿宋_GB2312" w:cs="仿宋_GB2312"/>
          <w:b w:val="0"/>
          <w:bCs w:val="0"/>
          <w:sz w:val="32"/>
          <w:szCs w:val="32"/>
        </w:rPr>
        <w:t>不属于《环境保护综合名录（2021年版）》中的产品</w:t>
      </w:r>
      <w:r>
        <w:rPr>
          <w:rFonts w:hint="eastAsia" w:ascii="仿宋_GB2312" w:hAnsi="仿宋_GB2312" w:eastAsia="仿宋_GB2312" w:cs="仿宋_GB2312"/>
          <w:b w:val="0"/>
          <w:bCs w:val="0"/>
          <w:kern w:val="0"/>
          <w:sz w:val="32"/>
          <w:szCs w:val="32"/>
        </w:rPr>
        <w:t>；该项目已通过</w:t>
      </w:r>
      <w:r>
        <w:rPr>
          <w:rFonts w:hint="eastAsia" w:ascii="仿宋_GB2312" w:hAnsi="仿宋_GB2312" w:eastAsia="仿宋_GB2312" w:cs="仿宋_GB2312"/>
          <w:b w:val="0"/>
          <w:bCs w:val="0"/>
          <w:color w:val="auto"/>
          <w:sz w:val="32"/>
          <w:szCs w:val="32"/>
          <w:lang w:val="en-US" w:eastAsia="zh-CN"/>
        </w:rPr>
        <w:t>卢龙县科技和工业信息化局</w:t>
      </w:r>
      <w:r>
        <w:rPr>
          <w:rFonts w:hint="eastAsia" w:ascii="仿宋_GB2312" w:hAnsi="仿宋_GB2312" w:eastAsia="仿宋_GB2312" w:cs="仿宋_GB2312"/>
          <w:b w:val="0"/>
          <w:bCs w:val="0"/>
          <w:color w:val="auto"/>
          <w:kern w:val="0"/>
          <w:sz w:val="32"/>
          <w:szCs w:val="32"/>
        </w:rPr>
        <w:t>备案,</w:t>
      </w:r>
      <w:r>
        <w:rPr>
          <w:rFonts w:hint="eastAsia" w:ascii="仿宋_GB2312" w:hAnsi="仿宋_GB2312" w:eastAsia="仿宋_GB2312" w:cs="仿宋_GB2312"/>
          <w:b w:val="0"/>
          <w:bCs w:val="0"/>
          <w:color w:val="auto"/>
          <w:sz w:val="32"/>
          <w:szCs w:val="32"/>
          <w:highlight w:val="none"/>
        </w:rPr>
        <w:t>备案编号:</w:t>
      </w:r>
      <w:r>
        <w:rPr>
          <w:rFonts w:hint="eastAsia" w:ascii="仿宋_GB2312" w:hAnsi="仿宋_GB2312" w:eastAsia="仿宋_GB2312" w:cs="仿宋_GB2312"/>
          <w:b w:val="0"/>
          <w:bCs w:val="0"/>
          <w:color w:val="auto"/>
          <w:sz w:val="32"/>
          <w:szCs w:val="32"/>
          <w:lang w:val="en-US" w:eastAsia="zh-CN"/>
        </w:rPr>
        <w:t>卢科工技改备字(2025)36号</w:t>
      </w:r>
      <w:r>
        <w:rPr>
          <w:rFonts w:hint="eastAsia" w:ascii="仿宋_GB2312" w:hAnsi="仿宋_GB2312" w:eastAsia="仿宋_GB2312" w:cs="仿宋_GB2312"/>
          <w:b w:val="0"/>
          <w:bCs w:val="0"/>
          <w:color w:val="auto"/>
          <w:kern w:val="0"/>
          <w:sz w:val="32"/>
          <w:szCs w:val="32"/>
          <w:lang w:val="en-US" w:eastAsia="zh-CN"/>
        </w:rPr>
        <w:t>。</w:t>
      </w:r>
    </w:p>
    <w:p w14:paraId="7A9366AD">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该《报告表》已通过河北超泰环保科技有限公司评估，结合评估意见（</w:t>
      </w:r>
      <w:r>
        <w:rPr>
          <w:rFonts w:hint="eastAsia" w:ascii="仿宋_GB2312" w:hAnsi="仿宋_GB2312" w:eastAsia="仿宋_GB2312" w:cs="仿宋_GB2312"/>
          <w:b w:val="0"/>
          <w:bCs/>
          <w:color w:val="auto"/>
          <w:sz w:val="32"/>
          <w:szCs w:val="32"/>
          <w:highlight w:val="none"/>
          <w:lang w:eastAsia="zh-CN"/>
        </w:rPr>
        <w:t>超泰</w:t>
      </w:r>
      <w:r>
        <w:rPr>
          <w:rFonts w:hint="eastAsia" w:ascii="仿宋_GB2312" w:hAnsi="仿宋_GB2312" w:eastAsia="仿宋_GB2312" w:cs="仿宋_GB2312"/>
          <w:b w:val="0"/>
          <w:bCs/>
          <w:color w:val="auto"/>
          <w:sz w:val="32"/>
          <w:szCs w:val="32"/>
          <w:highlight w:val="none"/>
        </w:rPr>
        <w:t>环评</w:t>
      </w:r>
      <w:r>
        <w:rPr>
          <w:rFonts w:hint="eastAsia" w:ascii="仿宋_GB2312" w:hAnsi="仿宋_GB2312" w:eastAsia="仿宋_GB2312" w:cs="仿宋_GB2312"/>
          <w:color w:val="000000"/>
          <w:kern w:val="0"/>
          <w:sz w:val="32"/>
          <w:szCs w:val="32"/>
        </w:rPr>
        <w:t>［202</w:t>
      </w:r>
      <w:r>
        <w:rPr>
          <w:rFonts w:hint="default" w:ascii="仿宋_GB2312" w:hAnsi="仿宋_GB2312" w:eastAsia="仿宋_GB2312" w:cs="仿宋_GB2312"/>
          <w:color w:val="000000"/>
          <w:kern w:val="0"/>
          <w:sz w:val="32"/>
          <w:szCs w:val="32"/>
          <w:lang w:val="en-US"/>
        </w:rPr>
        <w:t>5</w:t>
      </w: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lang w:val="en-US"/>
        </w:rPr>
        <w:t>028</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eastAsia="zh-CN"/>
        </w:rPr>
        <w:t>及</w:t>
      </w:r>
      <w:r>
        <w:rPr>
          <w:rFonts w:hint="eastAsia" w:ascii="仿宋_GB2312" w:hAnsi="仿宋_GB2312" w:eastAsia="仿宋_GB2312" w:cs="仿宋_GB2312"/>
          <w:color w:val="000000"/>
          <w:kern w:val="0"/>
          <w:sz w:val="32"/>
          <w:szCs w:val="32"/>
        </w:rPr>
        <w:t>公示反馈情况，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14:paraId="2BCAD09E">
      <w:pPr>
        <w:keepNext w:val="0"/>
        <w:keepLines w:val="0"/>
        <w:pageBreakBefore w:val="0"/>
        <w:widowControl w:val="0"/>
        <w:kinsoku/>
        <w:wordWrap/>
        <w:overflowPunct/>
        <w:topLinePunct w:val="0"/>
        <w:autoSpaceDE/>
        <w:autoSpaceDN/>
        <w:bidi w:val="0"/>
        <w:snapToGrid w:val="0"/>
        <w:spacing w:line="560" w:lineRule="exact"/>
        <w:ind w:left="0" w:righ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w:t>
      </w:r>
      <w:r>
        <w:rPr>
          <w:rFonts w:hint="eastAsia" w:ascii="仿宋_GB2312" w:hAnsi="仿宋_GB2312" w:eastAsia="仿宋_GB2312" w:cs="仿宋_GB2312"/>
          <w:spacing w:val="-6"/>
          <w:sz w:val="32"/>
          <w:szCs w:val="32"/>
        </w:rPr>
        <w:t>认真落实各项污染防治措施，加强环保设施运营管理，确保满足相关要求，</w:t>
      </w:r>
      <w:r>
        <w:rPr>
          <w:rFonts w:hint="eastAsia" w:ascii="仿宋_GB2312" w:hAnsi="仿宋_GB2312" w:eastAsia="仿宋_GB2312" w:cs="仿宋_GB2312"/>
          <w:color w:val="000000"/>
          <w:kern w:val="0"/>
          <w:sz w:val="32"/>
          <w:szCs w:val="32"/>
        </w:rPr>
        <w:t>并重点做好以下工作：</w:t>
      </w:r>
    </w:p>
    <w:p w14:paraId="34F184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eastAsia="zh-CN"/>
        </w:rPr>
        <w:t>（一）</w:t>
      </w:r>
      <w:r>
        <w:rPr>
          <w:rFonts w:hint="eastAsia" w:ascii="仿宋_GB2312" w:hAnsi="仿宋_GB2312" w:eastAsia="仿宋_GB2312" w:cs="仿宋_GB2312"/>
          <w:color w:val="000000"/>
          <w:spacing w:val="-6"/>
          <w:sz w:val="32"/>
          <w:szCs w:val="32"/>
        </w:rPr>
        <w:t>加强施工期环境管理，减少施工对环境的影响</w:t>
      </w:r>
    </w:p>
    <w:p w14:paraId="20A45F8C">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spacing w:val="-6"/>
          <w:sz w:val="32"/>
          <w:szCs w:val="32"/>
        </w:rPr>
      </w:pPr>
      <w:r>
        <w:rPr>
          <w:rFonts w:hint="default" w:ascii="仿宋_GB2312" w:hAnsi="仿宋_GB2312" w:eastAsia="仿宋_GB2312" w:cs="仿宋_GB2312"/>
          <w:color w:val="000000"/>
          <w:spacing w:val="-6"/>
          <w:sz w:val="32"/>
          <w:szCs w:val="32"/>
        </w:rPr>
        <w:t xml:space="preserve">  </w:t>
      </w:r>
      <w:r>
        <w:rPr>
          <w:rFonts w:hint="default"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6"/>
          <w:sz w:val="32"/>
          <w:szCs w:val="32"/>
        </w:rPr>
        <w:t>1</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sz w:val="32"/>
          <w:szCs w:val="32"/>
        </w:rPr>
        <w:t>建设及施工单位要严格执行《河北省2023年建筑施工扬尘污染防治工作方案（冀建质安函[2023]105号）》、《秦皇岛市扬尘综合整治专项实施方案》和《河北省扬尘污染防治办法》中有关施工扬尘的管理规定，同时结合《防治城市扬尘污染技术规范》(HJ/T393-2007)及同类施工场地采取的抑尘措施，落实各项控制扬尘污染措施，施工场地扬尘排放执行《施工场地扬尘排放标准》（DB13/2934-2019）的要求。施工</w:t>
      </w:r>
      <w:r>
        <w:rPr>
          <w:rFonts w:hint="default" w:ascii="仿宋_GB2312" w:hAnsi="仿宋_GB2312" w:eastAsia="仿宋_GB2312" w:cs="仿宋_GB2312"/>
          <w:color w:val="auto"/>
          <w:spacing w:val="-6"/>
          <w:sz w:val="32"/>
          <w:szCs w:val="32"/>
        </w:rPr>
        <w:t>废水</w:t>
      </w:r>
      <w:r>
        <w:rPr>
          <w:rFonts w:hint="eastAsia" w:ascii="仿宋_GB2312" w:hAnsi="仿宋_GB2312" w:eastAsia="仿宋_GB2312" w:cs="仿宋_GB2312"/>
          <w:color w:val="auto"/>
          <w:spacing w:val="-6"/>
          <w:sz w:val="32"/>
          <w:szCs w:val="32"/>
        </w:rPr>
        <w:t>经沉淀处理</w:t>
      </w:r>
      <w:r>
        <w:rPr>
          <w:rFonts w:hint="eastAsia" w:ascii="仿宋_GB2312" w:hAnsi="仿宋_GB2312" w:eastAsia="仿宋_GB2312" w:cs="仿宋_GB2312"/>
          <w:color w:val="auto"/>
          <w:spacing w:val="-6"/>
          <w:sz w:val="32"/>
          <w:szCs w:val="32"/>
          <w:lang w:eastAsia="zh-CN"/>
        </w:rPr>
        <w:t>后回用于工程养护、喷洒施工场地和道路抑尘等</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eastAsia="zh-CN"/>
        </w:rPr>
        <w:t>厂区</w:t>
      </w:r>
      <w:r>
        <w:rPr>
          <w:rFonts w:hint="eastAsia" w:ascii="仿宋_GB2312" w:hAnsi="仿宋_GB2312" w:eastAsia="仿宋_GB2312" w:cs="仿宋_GB2312"/>
          <w:color w:val="auto"/>
          <w:spacing w:val="-6"/>
          <w:sz w:val="32"/>
          <w:szCs w:val="32"/>
        </w:rPr>
        <w:t>设化粪池1座</w:t>
      </w:r>
      <w:r>
        <w:rPr>
          <w:rFonts w:hint="eastAsia" w:ascii="仿宋_GB2312" w:hAnsi="仿宋_GB2312" w:eastAsia="仿宋_GB2312" w:cs="仿宋_GB2312"/>
          <w:color w:val="auto"/>
          <w:spacing w:val="-6"/>
          <w:sz w:val="32"/>
          <w:szCs w:val="32"/>
          <w:lang w:eastAsia="zh-CN"/>
        </w:rPr>
        <w:t>，定期清掏，盥洗废水就地泼洒抑尘。本项目</w:t>
      </w:r>
      <w:r>
        <w:rPr>
          <w:rFonts w:hint="eastAsia" w:ascii="仿宋_GB2312" w:hAnsi="仿宋_GB2312" w:eastAsia="仿宋_GB2312" w:cs="仿宋_GB2312"/>
          <w:color w:val="auto"/>
          <w:spacing w:val="-6"/>
          <w:sz w:val="32"/>
          <w:szCs w:val="32"/>
        </w:rPr>
        <w:t>采用低噪声施工机械，避免高噪声机械同时作业，合理安排施工时间及进度，禁止夜间施工，确需夜间施工的，提前到相关部门登记并告知周边村民，施工阶段作业噪声要满足《建筑施工场界环境噪声排放标准》(GB12523-2011)</w:t>
      </w:r>
      <w:r>
        <w:rPr>
          <w:rFonts w:hint="eastAsia" w:ascii="仿宋_GB2312" w:hAnsi="仿宋_GB2312" w:eastAsia="仿宋_GB2312" w:cs="仿宋_GB2312"/>
          <w:color w:val="auto"/>
          <w:spacing w:val="-6"/>
          <w:sz w:val="32"/>
          <w:szCs w:val="32"/>
          <w:lang w:eastAsia="zh-CN"/>
        </w:rPr>
        <w:t>中限值</w:t>
      </w:r>
      <w:r>
        <w:rPr>
          <w:rFonts w:hint="eastAsia" w:ascii="仿宋_GB2312" w:hAnsi="仿宋_GB2312" w:eastAsia="仿宋_GB2312" w:cs="仿宋_GB2312"/>
          <w:color w:val="auto"/>
          <w:spacing w:val="-6"/>
          <w:sz w:val="32"/>
          <w:szCs w:val="32"/>
        </w:rPr>
        <w:t>要求；施工期产生的生活垃圾由环卫部门统一收集处置</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建筑垃圾</w:t>
      </w:r>
      <w:r>
        <w:rPr>
          <w:rFonts w:hint="eastAsia" w:ascii="仿宋_GB2312" w:hAnsi="仿宋_GB2312" w:eastAsia="仿宋_GB2312" w:cs="仿宋_GB2312"/>
          <w:color w:val="auto"/>
          <w:spacing w:val="-6"/>
          <w:sz w:val="32"/>
          <w:szCs w:val="32"/>
          <w:lang w:eastAsia="zh-CN"/>
        </w:rPr>
        <w:t>须依法依规进行处置</w:t>
      </w:r>
      <w:r>
        <w:rPr>
          <w:rFonts w:hint="eastAsia" w:ascii="仿宋_GB2312" w:hAnsi="仿宋_GB2312" w:eastAsia="仿宋_GB2312" w:cs="仿宋_GB2312"/>
          <w:color w:val="auto"/>
          <w:spacing w:val="-6"/>
          <w:sz w:val="32"/>
          <w:szCs w:val="32"/>
        </w:rPr>
        <w:t>。</w:t>
      </w:r>
    </w:p>
    <w:p w14:paraId="0FCBD3A2">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加强防腐防渗措施。按《报告表》要求进行相应的防腐防渗施工。</w:t>
      </w:r>
    </w:p>
    <w:p w14:paraId="385823B9">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（二）加强运营期环保设施管理，认真落实各项污染防治措施，确保满足相关要求。</w:t>
      </w:r>
    </w:p>
    <w:p w14:paraId="11B7C905">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严格落实大气污染防治措施</w:t>
      </w:r>
    </w:p>
    <w:p w14:paraId="366CA50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（1）</w:t>
      </w:r>
      <w:r>
        <w:rPr>
          <w:rFonts w:hint="default" w:ascii="仿宋_GB2312" w:hAnsi="仿宋_GB2312" w:eastAsia="仿宋_GB2312" w:cs="仿宋_GB2312"/>
          <w:color w:val="auto"/>
          <w:spacing w:val="-6"/>
          <w:sz w:val="32"/>
          <w:szCs w:val="32"/>
          <w:lang w:eastAsia="zh-CN"/>
        </w:rPr>
        <w:t>有组织废气</w:t>
      </w:r>
    </w:p>
    <w:p w14:paraId="4D9C4D93">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汉仪书宋二S" w:hAnsi="汉仪书宋二S" w:eastAsia="汉仪书宋二S" w:cs="汉仪书宋二S"/>
          <w:sz w:val="32"/>
          <w:szCs w:val="32"/>
          <w:lang w:val="en-US" w:eastAsia="zh-CN"/>
        </w:rPr>
        <w:t>①</w:t>
      </w:r>
      <w:r>
        <w:rPr>
          <w:rFonts w:hint="eastAsia" w:ascii="仿宋_GB2312" w:hAnsi="仿宋_GB2312" w:eastAsia="仿宋_GB2312" w:cs="仿宋_GB2312"/>
          <w:sz w:val="32"/>
          <w:szCs w:val="32"/>
          <w:lang w:val="en-US" w:eastAsia="zh-CN"/>
        </w:rPr>
        <w:t>氢氧化钙生产线</w:t>
      </w:r>
    </w:p>
    <w:p w14:paraId="62B8E417">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原料仓全封闭、运输落料处设置集气罩，与皮带输送、破碎、筛分产生的颗粒物经收集由1套脉冲布袋除尘器处理后经1根15m高排气筒（P1）排放；消化仓封闭消化颗粒物经管道收集后经1套脉冲布袋除尘器+水箱热转换（喷淋）处理后由1根15m高排气筒（P2）排放；成品存储、成品落料产生的颗粒物与采用集气罩收集的装车颗粒物经仓顶除尘后经1根仓顶排气筒（P3）排放。</w:t>
      </w:r>
    </w:p>
    <w:p w14:paraId="25F9BBF2">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料存储、落料、皮带输送、破碎、筛分、消化及成品存储、成品落料、成品装车过程产生的颗粒物排放须满足《石灰、电石工业大气污染物排放标准》（GB41618-2022）中（石灰制造）大气污染物排放限值和《石灰工业大气污染物排放标准》（DB 13/1641—2025）的要求。</w:t>
      </w:r>
    </w:p>
    <w:p w14:paraId="6057886D">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②原有氧化钙生产线</w:t>
      </w:r>
    </w:p>
    <w:p w14:paraId="070EAE95">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车间竖窑、原料库、卸料等产生的颗粒物、二氧化硫、氮氧化物等污染物治理措施为：原料库入口设挡风帘，集气罩收集，竖窑管道收集后，经1台旋风除尘器、1台布袋除尘器+1套双碱法脱硫塔+超低温脱硝装置处理后经1根35m高排气筒排放；成品储运产生的颗粒物经旋风除尘器+脉冲袋式除尘器处理后，经1根15m高排气筒排放。</w:t>
      </w:r>
    </w:p>
    <w:p w14:paraId="43A7AD59">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default" w:ascii="仿宋_GB2312" w:hAnsi="仿宋_GB2312" w:eastAsia="仿宋_GB2312" w:cs="仿宋_GB2312"/>
          <w:color w:val="auto"/>
          <w:spacing w:val="-6"/>
          <w:sz w:val="32"/>
          <w:szCs w:val="32"/>
          <w:lang w:val="en-US" w:eastAsia="zh-CN"/>
        </w:rPr>
        <w:t>一车间成品储运产生的颗粒物排放浓度</w:t>
      </w:r>
      <w:r>
        <w:rPr>
          <w:rFonts w:hint="eastAsia" w:ascii="仿宋_GB2312" w:hAnsi="仿宋_GB2312" w:eastAsia="仿宋_GB2312" w:cs="仿宋_GB2312"/>
          <w:color w:val="auto"/>
          <w:spacing w:val="-6"/>
          <w:sz w:val="32"/>
          <w:szCs w:val="32"/>
          <w:lang w:val="en-US" w:eastAsia="zh-CN"/>
        </w:rPr>
        <w:t>须满足</w:t>
      </w:r>
      <w:r>
        <w:rPr>
          <w:rFonts w:hint="default" w:ascii="仿宋_GB2312" w:hAnsi="仿宋_GB2312" w:eastAsia="仿宋_GB2312" w:cs="仿宋_GB2312"/>
          <w:color w:val="auto"/>
          <w:spacing w:val="-6"/>
          <w:sz w:val="32"/>
          <w:szCs w:val="32"/>
          <w:lang w:val="en-US" w:eastAsia="zh-CN"/>
        </w:rPr>
        <w:t>《石灰、电石工业大气污染物排放标准》（GB41618-2022）中（石灰制造）大气污染物排放限值</w:t>
      </w: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《石灰工业大气污染物排放标准》（DB</w:t>
      </w:r>
      <w:r>
        <w:rPr>
          <w:rFonts w:hint="eastAsia" w:ascii="仿宋_GB2312" w:hAnsi="仿宋_GB2312" w:eastAsia="仿宋_GB2312" w:cs="仿宋_GB2312"/>
          <w:color w:val="auto"/>
          <w:spacing w:val="-6"/>
          <w:sz w:val="32"/>
          <w:szCs w:val="32"/>
          <w:lang w:val="en-US" w:eastAsia="zh-CN"/>
        </w:rPr>
        <w:t xml:space="preserve"> </w:t>
      </w:r>
      <w:r>
        <w:rPr>
          <w:rFonts w:hint="default" w:ascii="仿宋_GB2312" w:hAnsi="仿宋_GB2312" w:eastAsia="仿宋_GB2312" w:cs="仿宋_GB2312"/>
          <w:color w:val="auto"/>
          <w:spacing w:val="-6"/>
          <w:sz w:val="32"/>
          <w:szCs w:val="32"/>
          <w:lang w:val="en-US" w:eastAsia="zh-CN"/>
        </w:rPr>
        <w:t>13/1641-2025）</w:t>
      </w:r>
      <w:r>
        <w:rPr>
          <w:rFonts w:hint="eastAsia" w:ascii="仿宋_GB2312" w:hAnsi="仿宋_GB2312" w:eastAsia="仿宋_GB2312" w:cs="仿宋_GB2312"/>
          <w:color w:val="auto"/>
          <w:spacing w:val="-6"/>
          <w:sz w:val="32"/>
          <w:szCs w:val="32"/>
          <w:lang w:val="en-US" w:eastAsia="zh-CN"/>
        </w:rPr>
        <w:t>实施后，须满足其相关</w:t>
      </w:r>
      <w:r>
        <w:rPr>
          <w:rFonts w:hint="default" w:ascii="仿宋_GB2312" w:hAnsi="仿宋_GB2312" w:eastAsia="仿宋_GB2312" w:cs="仿宋_GB2312"/>
          <w:color w:val="auto"/>
          <w:spacing w:val="-6"/>
          <w:sz w:val="32"/>
          <w:szCs w:val="32"/>
          <w:lang w:val="en-US" w:eastAsia="zh-CN"/>
        </w:rPr>
        <w:t>标准要求</w:t>
      </w:r>
      <w:r>
        <w:rPr>
          <w:rFonts w:hint="default" w:ascii="仿宋_GB2312" w:hAnsi="仿宋_GB2312" w:eastAsia="仿宋_GB2312" w:cs="仿宋_GB2312"/>
          <w:color w:val="auto"/>
          <w:spacing w:val="-6"/>
          <w:sz w:val="32"/>
          <w:szCs w:val="32"/>
          <w:lang w:val="en-US" w:eastAsia="zh-CN"/>
        </w:rPr>
        <w:t>；一车间竖窑、原料库、卸料等产生的颗粒物、二氧化硫、氮氧化物、氨、烟气黑度等排放浓度须满足《石灰、电石工业大气污染物排放标准》（GB41618-2022）中（石灰制造）大气污染物排放限值、《工业炉窑大气污染物排放标准》（DB13/1640-2012）</w:t>
      </w:r>
      <w:r>
        <w:rPr>
          <w:rFonts w:hint="eastAsia" w:ascii="仿宋_GB2312" w:hAnsi="仿宋_GB2312" w:eastAsia="仿宋_GB2312" w:cs="仿宋_GB2312"/>
          <w:color w:val="auto"/>
          <w:spacing w:val="-6"/>
          <w:sz w:val="32"/>
          <w:szCs w:val="32"/>
          <w:lang w:val="en-US" w:eastAsia="zh-CN"/>
        </w:rPr>
        <w:t>标准要求，</w:t>
      </w:r>
      <w:r>
        <w:rPr>
          <w:rFonts w:hint="default" w:ascii="仿宋_GB2312" w:hAnsi="仿宋_GB2312" w:eastAsia="仿宋_GB2312" w:cs="仿宋_GB2312"/>
          <w:color w:val="auto"/>
          <w:spacing w:val="-6"/>
          <w:sz w:val="32"/>
          <w:szCs w:val="32"/>
          <w:lang w:val="en-US" w:eastAsia="zh-CN"/>
        </w:rPr>
        <w:t>《石灰工业大气污染物排放标准》（DB 13/164</w:t>
      </w:r>
      <w:r>
        <w:rPr>
          <w:rFonts w:hint="eastAsia" w:ascii="仿宋_GB2312" w:hAnsi="仿宋_GB2312" w:eastAsia="仿宋_GB2312" w:cs="仿宋_GB2312"/>
          <w:color w:val="auto"/>
          <w:spacing w:val="-6"/>
          <w:sz w:val="32"/>
          <w:szCs w:val="32"/>
          <w:lang w:val="en-US" w:eastAsia="zh-CN"/>
        </w:rPr>
        <w:t>1</w:t>
      </w:r>
      <w:r>
        <w:rPr>
          <w:rFonts w:hint="default" w:ascii="仿宋_GB2312" w:hAnsi="仿宋_GB2312" w:eastAsia="仿宋_GB2312" w:cs="仿宋_GB2312"/>
          <w:color w:val="auto"/>
          <w:spacing w:val="-6"/>
          <w:sz w:val="32"/>
          <w:szCs w:val="32"/>
          <w:lang w:val="en-US" w:eastAsia="zh-CN"/>
        </w:rPr>
        <w:t>-2025）</w:t>
      </w:r>
      <w:r>
        <w:rPr>
          <w:rFonts w:hint="eastAsia" w:ascii="仿宋_GB2312" w:hAnsi="仿宋_GB2312" w:eastAsia="仿宋_GB2312" w:cs="仿宋_GB2312"/>
          <w:color w:val="auto"/>
          <w:spacing w:val="-6"/>
          <w:sz w:val="32"/>
          <w:szCs w:val="32"/>
          <w:lang w:val="en-US" w:eastAsia="zh-CN"/>
        </w:rPr>
        <w:t>实施后，须满足其相关标准要求。</w:t>
      </w:r>
    </w:p>
    <w:p w14:paraId="30E35BBA">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无组织废气</w:t>
      </w:r>
    </w:p>
    <w:p w14:paraId="21B5EF7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本项目采取</w:t>
      </w:r>
      <w:r>
        <w:rPr>
          <w:rFonts w:hint="eastAsia" w:ascii="仿宋_GB2312" w:hAnsi="仿宋_GB2312" w:eastAsia="仿宋_GB2312" w:cs="仿宋_GB2312"/>
          <w:color w:val="auto"/>
          <w:sz w:val="32"/>
          <w:szCs w:val="32"/>
          <w:lang w:val="en-US" w:eastAsia="zh-CN"/>
        </w:rPr>
        <w:t>氢氧化钙生产线和1车间氧化钙生产线车间密闭，皮带与螺旋输送机均密闭、道路定期洒水抑尘等措施</w:t>
      </w:r>
      <w:r>
        <w:rPr>
          <w:rFonts w:hint="eastAsia" w:ascii="仿宋_GB2312" w:hAnsi="仿宋_GB2312" w:eastAsia="仿宋_GB2312" w:cs="仿宋_GB2312"/>
          <w:color w:val="auto"/>
          <w:spacing w:val="-6"/>
          <w:sz w:val="32"/>
          <w:szCs w:val="32"/>
          <w:lang w:val="en-US" w:eastAsia="zh-CN"/>
        </w:rPr>
        <w:t>。</w:t>
      </w:r>
    </w:p>
    <w:p w14:paraId="222129C3">
      <w:pPr>
        <w:keepNext w:val="0"/>
        <w:keepLines w:val="0"/>
        <w:pageBreakBefore w:val="0"/>
        <w:widowControl w:val="0"/>
        <w:numPr>
          <w:ilvl w:val="0"/>
          <w:numId w:val="0"/>
        </w:numPr>
        <w:kinsoku/>
        <w:wordWrap/>
        <w:overflowPunct/>
        <w:topLinePunct w:val="0"/>
        <w:autoSpaceDE/>
        <w:autoSpaceDN/>
        <w:bidi w:val="0"/>
        <w:snapToGrid w:val="0"/>
        <w:spacing w:line="560" w:lineRule="exact"/>
        <w:ind w:right="0" w:rightChars="0" w:firstLine="616" w:firstLineChars="200"/>
        <w:textAlignment w:val="auto"/>
        <w:rPr>
          <w:rFonts w:hint="default" w:ascii="仿宋_GB2312" w:hAnsi="仿宋_GB2312" w:eastAsia="仿宋_GB2312" w:cs="仿宋_GB2312"/>
          <w:color w:val="auto"/>
          <w:spacing w:val="-6"/>
          <w:sz w:val="32"/>
          <w:szCs w:val="32"/>
          <w:lang w:eastAsia="zh-CN"/>
        </w:rPr>
      </w:pPr>
      <w:r>
        <w:rPr>
          <w:rFonts w:hint="default" w:ascii="仿宋_GB2312" w:hAnsi="仿宋_GB2312" w:eastAsia="仿宋_GB2312" w:cs="仿宋_GB2312"/>
          <w:color w:val="auto"/>
          <w:spacing w:val="-6"/>
          <w:sz w:val="32"/>
          <w:szCs w:val="32"/>
          <w:lang w:eastAsia="zh-CN"/>
        </w:rPr>
        <w:t>厂</w:t>
      </w:r>
      <w:r>
        <w:rPr>
          <w:rFonts w:hint="eastAsia" w:ascii="仿宋_GB2312" w:hAnsi="仿宋_GB2312" w:eastAsia="仿宋_GB2312" w:cs="仿宋_GB2312"/>
          <w:color w:val="auto"/>
          <w:spacing w:val="-6"/>
          <w:sz w:val="32"/>
          <w:szCs w:val="32"/>
          <w:lang w:eastAsia="zh-CN"/>
        </w:rPr>
        <w:t>区内</w:t>
      </w:r>
      <w:r>
        <w:rPr>
          <w:rFonts w:hint="default" w:ascii="仿宋_GB2312" w:hAnsi="仿宋_GB2312" w:eastAsia="仿宋_GB2312" w:cs="仿宋_GB2312"/>
          <w:color w:val="auto"/>
          <w:spacing w:val="-6"/>
          <w:sz w:val="32"/>
          <w:szCs w:val="32"/>
          <w:lang w:eastAsia="zh-CN"/>
        </w:rPr>
        <w:t>无组织颗粒物</w:t>
      </w:r>
      <w:r>
        <w:rPr>
          <w:rFonts w:hint="eastAsia" w:ascii="仿宋_GB2312" w:hAnsi="仿宋_GB2312" w:eastAsia="仿宋_GB2312" w:cs="仿宋_GB2312"/>
          <w:color w:val="auto"/>
          <w:spacing w:val="-6"/>
          <w:sz w:val="32"/>
          <w:szCs w:val="32"/>
          <w:lang w:eastAsia="zh-CN"/>
        </w:rPr>
        <w:t>须</w:t>
      </w:r>
      <w:r>
        <w:rPr>
          <w:rFonts w:hint="default" w:ascii="仿宋_GB2312" w:hAnsi="仿宋_GB2312" w:eastAsia="仿宋_GB2312" w:cs="仿宋_GB2312"/>
          <w:color w:val="auto"/>
          <w:spacing w:val="-6"/>
          <w:sz w:val="32"/>
          <w:szCs w:val="32"/>
          <w:lang w:eastAsia="zh-CN"/>
        </w:rPr>
        <w:t>满足《石灰、电石工业大气污染物排放标准》（GB41618-2022）中（石灰制造）大气污染物排放限值，《石灰工业大气污染物排放标准》（DB 13/1641-2025）实施后，须满足其相关标准要求</w:t>
      </w:r>
      <w:r>
        <w:rPr>
          <w:rFonts w:hint="default" w:ascii="仿宋_GB2312" w:hAnsi="仿宋_GB2312" w:eastAsia="仿宋_GB2312" w:cs="仿宋_GB2312"/>
          <w:color w:val="auto"/>
          <w:spacing w:val="-6"/>
          <w:sz w:val="32"/>
          <w:szCs w:val="32"/>
          <w:lang w:eastAsia="zh-CN"/>
        </w:rPr>
        <w:t>。</w:t>
      </w:r>
    </w:p>
    <w:p w14:paraId="68D6CBA1">
      <w:pPr>
        <w:keepNext w:val="0"/>
        <w:keepLines w:val="0"/>
        <w:pageBreakBefore w:val="0"/>
        <w:widowControl w:val="0"/>
        <w:numPr>
          <w:ilvl w:val="0"/>
          <w:numId w:val="0"/>
        </w:numPr>
        <w:kinsoku/>
        <w:wordWrap/>
        <w:overflowPunct/>
        <w:topLinePunct w:val="0"/>
        <w:autoSpaceDE/>
        <w:autoSpaceDN/>
        <w:bidi w:val="0"/>
        <w:snapToGrid w:val="0"/>
        <w:spacing w:line="560" w:lineRule="exact"/>
        <w:ind w:right="0" w:rightChars="0" w:firstLine="616" w:firstLineChars="200"/>
        <w:textAlignment w:val="auto"/>
        <w:rPr>
          <w:rFonts w:hint="default"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厂界</w:t>
      </w:r>
      <w:r>
        <w:rPr>
          <w:rFonts w:hint="default" w:ascii="仿宋_GB2312" w:hAnsi="仿宋_GB2312" w:eastAsia="仿宋_GB2312" w:cs="仿宋_GB2312"/>
          <w:color w:val="auto"/>
          <w:spacing w:val="-6"/>
          <w:sz w:val="32"/>
          <w:szCs w:val="32"/>
          <w:lang w:eastAsia="zh-CN"/>
        </w:rPr>
        <w:t>无组织颗粒物</w:t>
      </w:r>
      <w:r>
        <w:rPr>
          <w:rFonts w:hint="eastAsia" w:ascii="仿宋_GB2312" w:hAnsi="仿宋_GB2312" w:eastAsia="仿宋_GB2312" w:cs="仿宋_GB2312"/>
          <w:color w:val="auto"/>
          <w:spacing w:val="-6"/>
          <w:sz w:val="32"/>
          <w:szCs w:val="32"/>
          <w:lang w:eastAsia="zh-CN"/>
        </w:rPr>
        <w:t>须</w:t>
      </w:r>
      <w:r>
        <w:rPr>
          <w:rFonts w:hint="default" w:ascii="仿宋_GB2312" w:hAnsi="仿宋_GB2312" w:eastAsia="仿宋_GB2312" w:cs="仿宋_GB2312"/>
          <w:color w:val="auto"/>
          <w:spacing w:val="-6"/>
          <w:sz w:val="32"/>
          <w:szCs w:val="32"/>
          <w:lang w:eastAsia="zh-CN"/>
        </w:rPr>
        <w:t>满足</w:t>
      </w:r>
      <w:r>
        <w:rPr>
          <w:rFonts w:hint="eastAsia" w:ascii="仿宋_GB2312" w:hAnsi="仿宋_GB2312" w:eastAsia="仿宋_GB2312" w:cs="仿宋_GB2312"/>
          <w:color w:val="auto"/>
          <w:spacing w:val="-6"/>
          <w:sz w:val="32"/>
          <w:szCs w:val="32"/>
          <w:lang w:eastAsia="zh-CN"/>
        </w:rPr>
        <w:t>《大气污染物综合排放标准》（</w:t>
      </w:r>
      <w:r>
        <w:rPr>
          <w:rFonts w:hint="eastAsia" w:ascii="仿宋_GB2312" w:hAnsi="仿宋_GB2312" w:eastAsia="仿宋_GB2312" w:cs="仿宋_GB2312"/>
          <w:color w:val="auto"/>
          <w:spacing w:val="-6"/>
          <w:sz w:val="32"/>
          <w:szCs w:val="32"/>
          <w:lang w:val="en-US" w:eastAsia="zh-CN"/>
        </w:rPr>
        <w:t>GB16297-1996</w:t>
      </w:r>
      <w:r>
        <w:rPr>
          <w:rFonts w:hint="eastAsia" w:ascii="仿宋_GB2312" w:hAnsi="仿宋_GB2312" w:eastAsia="仿宋_GB2312" w:cs="仿宋_GB2312"/>
          <w:color w:val="auto"/>
          <w:spacing w:val="-6"/>
          <w:sz w:val="32"/>
          <w:szCs w:val="32"/>
          <w:lang w:eastAsia="zh-CN"/>
        </w:rPr>
        <w:t>）相关要求，同时满足《秦皇岛市人民政府办公室关于执行钢铁等行业大气污染物排放特别要求的通知》（[2021]-10）中工业企业厂界颗粒物无组织排放浓度特别管控要求和《秦皇岛市非金属露天开采矿山及矿石加工、储存企业环境深度整治技术要求》相关要求。</w:t>
      </w:r>
    </w:p>
    <w:p w14:paraId="2A6E62F2">
      <w:pPr>
        <w:keepNext w:val="0"/>
        <w:keepLines w:val="0"/>
        <w:pageBreakBefore w:val="0"/>
        <w:widowControl w:val="0"/>
        <w:numPr>
          <w:ilvl w:val="0"/>
          <w:numId w:val="0"/>
        </w:numPr>
        <w:kinsoku/>
        <w:wordWrap/>
        <w:overflowPunct/>
        <w:topLinePunct w:val="0"/>
        <w:autoSpaceDE/>
        <w:autoSpaceDN/>
        <w:bidi w:val="0"/>
        <w:snapToGrid w:val="0"/>
        <w:spacing w:line="560" w:lineRule="exact"/>
        <w:ind w:right="0" w:rightChars="0" w:firstLine="616" w:firstLineChars="200"/>
        <w:textAlignment w:val="auto"/>
        <w:rPr>
          <w:rFonts w:hint="default" w:ascii="仿宋_GB2312" w:hAnsi="仿宋_GB2312" w:eastAsia="仿宋_GB2312" w:cs="仿宋_GB2312"/>
          <w:kern w:val="2"/>
          <w:sz w:val="32"/>
          <w:szCs w:val="32"/>
          <w:highlight w:val="none"/>
          <w:lang w:eastAsia="zh-CN" w:bidi="ar-SA"/>
        </w:rPr>
      </w:pPr>
      <w:r>
        <w:rPr>
          <w:rFonts w:hint="eastAsia" w:ascii="仿宋_GB2312" w:hAnsi="仿宋_GB2312" w:eastAsia="仿宋_GB2312" w:cs="仿宋_GB2312"/>
          <w:color w:val="auto"/>
          <w:spacing w:val="-6"/>
          <w:sz w:val="32"/>
          <w:szCs w:val="32"/>
          <w:lang w:val="en-US" w:eastAsia="zh-CN"/>
        </w:rPr>
        <w:t>2.本项目无新增废水外排。</w:t>
      </w:r>
      <w:r>
        <w:rPr>
          <w:rFonts w:hint="default" w:ascii="仿宋_GB2312" w:hAnsi="仿宋_GB2312" w:eastAsia="仿宋_GB2312" w:cs="仿宋_GB2312"/>
          <w:kern w:val="2"/>
          <w:sz w:val="32"/>
          <w:szCs w:val="32"/>
          <w:highlight w:val="none"/>
          <w:lang w:eastAsia="zh-CN" w:bidi="ar-SA"/>
        </w:rPr>
        <w:t xml:space="preserve">    </w:t>
      </w:r>
    </w:p>
    <w:p w14:paraId="4DAED8C7">
      <w:pPr>
        <w:keepNext w:val="0"/>
        <w:keepLines w:val="0"/>
        <w:pageBreakBefore w:val="0"/>
        <w:widowControl w:val="0"/>
        <w:numPr>
          <w:ilvl w:val="0"/>
          <w:numId w:val="0"/>
        </w:numPr>
        <w:kinsoku/>
        <w:wordWrap/>
        <w:overflowPunct/>
        <w:topLinePunct w:val="0"/>
        <w:autoSpaceDE/>
        <w:autoSpaceDN/>
        <w:bidi w:val="0"/>
        <w:snapToGrid w:val="0"/>
        <w:spacing w:line="560" w:lineRule="exact"/>
        <w:ind w:right="0" w:rightChars="0" w:firstLine="640"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kern w:val="2"/>
          <w:sz w:val="32"/>
          <w:szCs w:val="32"/>
          <w:highlight w:val="none"/>
          <w:lang w:val="en-US" w:eastAsia="zh-CN" w:bidi="ar-SA"/>
        </w:rPr>
        <w:t>3.严格落实噪声污染防治</w:t>
      </w:r>
      <w:r>
        <w:rPr>
          <w:rFonts w:hint="eastAsia" w:ascii="仿宋_GB2312" w:hAnsi="仿宋_GB2312" w:eastAsia="仿宋_GB2312" w:cs="仿宋_GB2312"/>
          <w:color w:val="auto"/>
          <w:spacing w:val="-6"/>
          <w:sz w:val="32"/>
          <w:szCs w:val="32"/>
        </w:rPr>
        <w:t>措施</w:t>
      </w:r>
    </w:p>
    <w:p w14:paraId="1F609EC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采取各项降噪措施，严格控制生产过程产生的噪声对周围环境的影响。项目选用低噪声设备，采取基础减振、厂房隔声等措施，项目实施后厂界噪声须满足《工业企业厂界环境噪声排放标准》（GB12348-2008）</w:t>
      </w:r>
      <w:r>
        <w:rPr>
          <w:rFonts w:hint="eastAsia" w:ascii="仿宋_GB2312" w:hAnsi="仿宋_GB2312" w:eastAsia="仿宋_GB2312" w:cs="仿宋_GB2312"/>
          <w:color w:val="auto"/>
          <w:spacing w:val="-6"/>
          <w:sz w:val="32"/>
          <w:szCs w:val="32"/>
          <w:lang w:val="en-US" w:eastAsia="zh-CN"/>
        </w:rPr>
        <w:t>2类</w:t>
      </w:r>
      <w:r>
        <w:rPr>
          <w:rFonts w:hint="eastAsia" w:ascii="仿宋_GB2312" w:hAnsi="仿宋_GB2312" w:eastAsia="仿宋_GB2312" w:cs="仿宋_GB2312"/>
          <w:color w:val="auto"/>
          <w:spacing w:val="-6"/>
          <w:sz w:val="32"/>
          <w:szCs w:val="32"/>
        </w:rPr>
        <w:t>标准限值要求。</w:t>
      </w:r>
    </w:p>
    <w:p w14:paraId="61E47B8C">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4.严格落实固体废物污染防治措施</w:t>
      </w:r>
    </w:p>
    <w:p w14:paraId="0A047BF0">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rPr>
        <w:t>企业要严格落实固体废物分类处置和综合利用措施，认真落实《报告表》规定的固体废物处理、处置措施。按照“资源化、减量化、无害化”的固废处置原则，实现综合利用。项目产生的固体废物主要为</w:t>
      </w:r>
      <w:r>
        <w:rPr>
          <w:rFonts w:hint="eastAsia" w:ascii="仿宋_GB2312" w:hAnsi="仿宋_GB2312" w:eastAsia="仿宋_GB2312" w:cs="仿宋_GB2312"/>
          <w:sz w:val="32"/>
          <w:szCs w:val="32"/>
          <w:lang w:val="en-US" w:eastAsia="zh-CN"/>
        </w:rPr>
        <w:t>原料存储、原料落料、皮带输送</w:t>
      </w:r>
      <w:r>
        <w:rPr>
          <w:rFonts w:hint="eastAsia" w:ascii="仿宋_GB2312" w:hAnsi="仿宋_GB2312" w:eastAsia="仿宋_GB2312" w:cs="仿宋_GB2312"/>
          <w:color w:val="auto"/>
          <w:spacing w:val="-6"/>
          <w:sz w:val="32"/>
          <w:szCs w:val="32"/>
          <w:lang w:val="en-US" w:eastAsia="zh-CN"/>
        </w:rPr>
        <w:t>、破碎、筛分除尘灰、消化除尘灰、水箱沉渣、成品端除尘灰、废布袋、洗车沉泥、废皮带、废机油、废机油桶和生活垃圾。</w:t>
      </w:r>
    </w:p>
    <w:p w14:paraId="40ACC61A">
      <w:pPr>
        <w:ind w:firstLine="640" w:firstLineChars="200"/>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sz w:val="32"/>
          <w:szCs w:val="32"/>
          <w:lang w:val="en-US" w:eastAsia="zh-CN"/>
        </w:rPr>
        <w:t>原料存储、原料落料、皮带输送、破碎、筛分除尘灰收集后回至原料存储区；消化除尘灰与水箱沉渣收集后回至消化器；成品端除尘灰直接作为产品外售；废布袋由厂家更换并回收；全部洗车沉泥作为道路夯实材料自行利用或外售；废皮带收集后外售，生活垃圾集中收集后由环卫部门处理。</w:t>
      </w:r>
      <w:r>
        <w:rPr>
          <w:rFonts w:hint="eastAsia" w:ascii="仿宋_GB2312" w:hAnsi="仿宋_GB2312" w:eastAsia="仿宋_GB2312" w:cs="仿宋_GB2312"/>
          <w:color w:val="auto"/>
          <w:spacing w:val="-6"/>
          <w:sz w:val="32"/>
          <w:szCs w:val="32"/>
          <w:lang w:val="en-US" w:eastAsia="zh-CN"/>
        </w:rPr>
        <w:t>废机油、废机油桶</w:t>
      </w:r>
      <w:r>
        <w:rPr>
          <w:rFonts w:hint="default" w:ascii="仿宋_GB2312" w:hAnsi="仿宋_GB2312" w:eastAsia="仿宋_GB2312" w:cs="仿宋_GB2312"/>
          <w:color w:val="auto"/>
          <w:spacing w:val="-6"/>
          <w:sz w:val="32"/>
          <w:szCs w:val="32"/>
          <w:lang w:eastAsia="zh-CN"/>
        </w:rPr>
        <w:t>为危险废物，</w:t>
      </w:r>
      <w:r>
        <w:rPr>
          <w:rFonts w:hint="eastAsia" w:ascii="仿宋_GB2312" w:hAnsi="仿宋_GB2312" w:eastAsia="仿宋_GB2312" w:cs="仿宋_GB2312"/>
          <w:color w:val="auto"/>
          <w:spacing w:val="-6"/>
          <w:sz w:val="32"/>
          <w:szCs w:val="32"/>
          <w:lang w:val="en-US" w:eastAsia="zh-CN"/>
        </w:rPr>
        <w:t>暂存于危废暂存间内</w:t>
      </w:r>
      <w:r>
        <w:rPr>
          <w:rFonts w:hint="default" w:ascii="仿宋_GB2312" w:hAnsi="仿宋_GB2312" w:eastAsia="仿宋_GB2312" w:cs="仿宋_GB2312"/>
          <w:color w:val="auto"/>
          <w:spacing w:val="-6"/>
          <w:sz w:val="32"/>
          <w:szCs w:val="32"/>
          <w:lang w:val="en-US" w:eastAsia="zh-CN"/>
        </w:rPr>
        <w:t>，定期交由具有危废处置资质单位处理</w:t>
      </w:r>
      <w:r>
        <w:rPr>
          <w:rFonts w:hint="eastAsia" w:ascii="仿宋_GB2312" w:hAnsi="仿宋_GB2312" w:eastAsia="仿宋_GB2312" w:cs="仿宋_GB2312"/>
          <w:color w:val="auto"/>
          <w:spacing w:val="-6"/>
          <w:sz w:val="32"/>
          <w:szCs w:val="32"/>
          <w:lang w:val="en-US" w:eastAsia="zh-CN"/>
        </w:rPr>
        <w:t>。</w:t>
      </w:r>
    </w:p>
    <w:p w14:paraId="5573474F">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项目产生的危险废物及危险废物暂存库须满足《危险废物贮存污染控制标准》(GB18597-20</w:t>
      </w:r>
      <w:r>
        <w:rPr>
          <w:rFonts w:hint="default" w:ascii="仿宋_GB2312" w:hAnsi="仿宋_GB2312" w:eastAsia="仿宋_GB2312" w:cs="仿宋_GB2312"/>
          <w:color w:val="auto"/>
          <w:spacing w:val="-6"/>
          <w:sz w:val="32"/>
          <w:szCs w:val="32"/>
        </w:rPr>
        <w:t>23</w:t>
      </w:r>
      <w:r>
        <w:rPr>
          <w:rFonts w:hint="eastAsia" w:ascii="仿宋_GB2312" w:hAnsi="仿宋_GB2312" w:eastAsia="仿宋_GB2312" w:cs="仿宋_GB2312"/>
          <w:color w:val="auto"/>
          <w:spacing w:val="-6"/>
          <w:sz w:val="32"/>
          <w:szCs w:val="32"/>
        </w:rPr>
        <w:t>)要求。</w:t>
      </w:r>
    </w:p>
    <w:p w14:paraId="3C3135C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认真</w:t>
      </w:r>
      <w:r>
        <w:rPr>
          <w:rFonts w:hint="eastAsia" w:ascii="仿宋_GB2312" w:hAnsi="仿宋_GB2312" w:eastAsia="仿宋_GB2312" w:cs="仿宋_GB2312"/>
          <w:sz w:val="32"/>
          <w:szCs w:val="32"/>
        </w:rPr>
        <w:t>落实《报告表》其他环境管理要求。</w:t>
      </w:r>
    </w:p>
    <w:p w14:paraId="4ADC04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强化环境风险防范和应急措施。制订完善的环境管理、风险管理措施，设施配备齐全，加强相关人员培训</w:t>
      </w:r>
      <w:r>
        <w:rPr>
          <w:rFonts w:hint="eastAsia" w:ascii="仿宋_GB2312" w:hAnsi="仿宋_GB2312" w:eastAsia="仿宋_GB2312" w:cs="仿宋_GB2312"/>
          <w:color w:val="000000"/>
          <w:kern w:val="0"/>
          <w:sz w:val="32"/>
          <w:szCs w:val="32"/>
        </w:rPr>
        <w:t>。加强风险源管控，严格落实《报告表》中环境风险防范措施，</w:t>
      </w:r>
      <w:r>
        <w:rPr>
          <w:rFonts w:hint="eastAsia" w:ascii="仿宋_GB2312" w:hAnsi="仿宋_GB2312" w:eastAsia="仿宋_GB2312" w:cs="仿宋_GB2312"/>
          <w:color w:val="000000"/>
          <w:kern w:val="0"/>
          <w:sz w:val="32"/>
          <w:szCs w:val="32"/>
          <w:lang w:eastAsia="zh-CN"/>
        </w:rPr>
        <w:t>落实</w:t>
      </w:r>
      <w:r>
        <w:rPr>
          <w:rFonts w:hint="eastAsia" w:ascii="仿宋_GB2312" w:hAnsi="仿宋_GB2312" w:eastAsia="仿宋_GB2312" w:cs="仿宋_GB2312"/>
          <w:color w:val="000000"/>
          <w:kern w:val="0"/>
          <w:sz w:val="32"/>
          <w:szCs w:val="32"/>
        </w:rPr>
        <w:t>突发环境事件应急</w:t>
      </w:r>
      <w:r>
        <w:rPr>
          <w:rFonts w:hint="default" w:ascii="仿宋_GB2312" w:hAnsi="仿宋_GB2312" w:eastAsia="仿宋_GB2312" w:cs="仿宋_GB2312"/>
          <w:color w:val="000000"/>
          <w:kern w:val="0"/>
          <w:sz w:val="32"/>
          <w:szCs w:val="32"/>
        </w:rPr>
        <w:t>相关</w:t>
      </w:r>
      <w:r>
        <w:rPr>
          <w:rFonts w:hint="eastAsia" w:ascii="仿宋_GB2312" w:hAnsi="仿宋_GB2312" w:eastAsia="仿宋_GB2312" w:cs="仿宋_GB2312"/>
          <w:color w:val="000000"/>
          <w:kern w:val="0"/>
          <w:sz w:val="32"/>
          <w:szCs w:val="32"/>
          <w:lang w:eastAsia="zh-CN"/>
        </w:rPr>
        <w:t>要求</w:t>
      </w:r>
      <w:r>
        <w:rPr>
          <w:rFonts w:hint="eastAsia" w:ascii="仿宋_GB2312" w:hAnsi="仿宋_GB2312" w:eastAsia="仿宋_GB2312" w:cs="仿宋_GB2312"/>
          <w:color w:val="000000"/>
          <w:kern w:val="0"/>
          <w:sz w:val="32"/>
          <w:szCs w:val="32"/>
        </w:rPr>
        <w:t>，并与当地政府及相关部门应急预案做好衔接，定期进行应急培训和</w:t>
      </w:r>
      <w:r>
        <w:rPr>
          <w:rFonts w:hint="eastAsia" w:ascii="仿宋_GB2312" w:hAnsi="仿宋_GB2312" w:eastAsia="仿宋_GB2312" w:cs="仿宋_GB2312"/>
          <w:spacing w:val="-6"/>
          <w:sz w:val="32"/>
          <w:szCs w:val="32"/>
        </w:rPr>
        <w:t>演练，有效防范和应对环境风险。</w:t>
      </w:r>
    </w:p>
    <w:p w14:paraId="3592FA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 xml:space="preserve">认真落实《报告表》中规定的污染防治措施及清洁生产措施，项目实施后，企业须按照国家排污许可有关管理规定及时办理排污许可证。 </w:t>
      </w:r>
    </w:p>
    <w:p w14:paraId="1CA4326F">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14:paraId="1EB06BE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w:t>
      </w:r>
      <w:r>
        <w:rPr>
          <w:rFonts w:hint="eastAsia" w:ascii="仿宋_GB2312" w:hAnsi="仿宋_GB2312" w:eastAsia="仿宋_GB2312" w:cs="仿宋_GB2312"/>
          <w:color w:val="000000"/>
          <w:sz w:val="32"/>
          <w:szCs w:val="32"/>
          <w:shd w:val="clear" w:color="auto" w:fill="FFFFFF"/>
        </w:rPr>
        <w:t>进一步强化污染源管理工作。按照国家和地方有关规定，建设规范的污染物排放口，设立标志牌</w:t>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000000"/>
          <w:sz w:val="32"/>
          <w:szCs w:val="32"/>
          <w:shd w:val="clear" w:color="auto" w:fill="FFFFFF"/>
        </w:rPr>
        <w:t>对《报告表》要求的监测内容定期开展监测，企业应按照环境监测管理规定和技术规范的要求，设计、建设、维护永久性采样口、采样测试平台。</w:t>
      </w:r>
    </w:p>
    <w:p w14:paraId="71478F7C">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hAnsi="仿宋_GB2312" w:eastAsia="仿宋_GB2312" w:cs="仿宋_GB2312"/>
          <w:sz w:val="32"/>
          <w:szCs w:val="32"/>
        </w:rPr>
        <w:t>未经验收或者验收不合格的，不得投入生产或者使用</w:t>
      </w:r>
      <w:r>
        <w:rPr>
          <w:rFonts w:hint="eastAsia" w:ascii="仿宋_GB2312" w:hAns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hAnsi="仿宋_GB2312" w:eastAsia="仿宋_GB2312" w:cs="仿宋_GB2312"/>
          <w:sz w:val="32"/>
          <w:szCs w:val="32"/>
        </w:rPr>
        <w:t>工程自批复之日起五年后方决定开工建设的，需将环评文件报我局重新审核。</w:t>
      </w:r>
    </w:p>
    <w:p w14:paraId="39595A8A">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八、你单位在接到本批复后的10个工作日内，须将环评报告表及其批复送秦皇岛市生态环境局</w:t>
      </w:r>
      <w:r>
        <w:rPr>
          <w:rFonts w:hint="eastAsia" w:ascii="仿宋_GB2312" w:hAnsi="仿宋_GB2312" w:eastAsia="仿宋_GB2312" w:cs="仿宋_GB2312"/>
          <w:spacing w:val="-6"/>
          <w:sz w:val="32"/>
          <w:szCs w:val="32"/>
          <w:lang w:eastAsia="zh-CN"/>
        </w:rPr>
        <w:t>卢龙县分局</w:t>
      </w:r>
      <w:r>
        <w:rPr>
          <w:rFonts w:hint="eastAsia" w:ascii="仿宋_GB2312" w:hAnsi="仿宋_GB2312" w:eastAsia="仿宋_GB2312" w:cs="仿宋_GB2312"/>
          <w:spacing w:val="-6"/>
          <w:sz w:val="32"/>
          <w:szCs w:val="32"/>
        </w:rPr>
        <w:t>、资规局等相关部门，日常监督管理由秦皇岛市生态环境局</w:t>
      </w:r>
      <w:r>
        <w:rPr>
          <w:rFonts w:hint="eastAsia" w:ascii="仿宋_GB2312" w:hAnsi="仿宋_GB2312" w:eastAsia="仿宋_GB2312" w:cs="仿宋_GB2312"/>
          <w:spacing w:val="-6"/>
          <w:sz w:val="32"/>
          <w:szCs w:val="32"/>
          <w:lang w:eastAsia="zh-CN"/>
        </w:rPr>
        <w:t>卢龙县分局</w:t>
      </w:r>
      <w:r>
        <w:rPr>
          <w:rFonts w:hint="eastAsia" w:ascii="仿宋_GB2312" w:hAnsi="仿宋_GB2312" w:eastAsia="仿宋_GB2312" w:cs="仿宋_GB2312"/>
          <w:spacing w:val="-6"/>
          <w:sz w:val="32"/>
          <w:szCs w:val="32"/>
        </w:rPr>
        <w:t>负责。建设单位须定期向秦皇岛市生态环境局</w:t>
      </w:r>
      <w:r>
        <w:rPr>
          <w:rFonts w:hint="eastAsia" w:ascii="仿宋_GB2312" w:hAnsi="仿宋_GB2312" w:eastAsia="仿宋_GB2312" w:cs="仿宋_GB2312"/>
          <w:spacing w:val="-6"/>
          <w:sz w:val="32"/>
          <w:szCs w:val="32"/>
          <w:lang w:eastAsia="zh-CN"/>
        </w:rPr>
        <w:t>卢龙县分局</w:t>
      </w:r>
      <w:r>
        <w:rPr>
          <w:rFonts w:hint="eastAsia" w:ascii="仿宋_GB2312" w:hAnsi="仿宋_GB2312" w:eastAsia="仿宋_GB2312" w:cs="仿宋_GB2312"/>
          <w:spacing w:val="-6"/>
          <w:sz w:val="32"/>
          <w:szCs w:val="32"/>
        </w:rPr>
        <w:t xml:space="preserve">报告“三同时”完成情况。并按规定接受各级生态环境行政主管部门的日常监督检查。 </w:t>
      </w:r>
    </w:p>
    <w:p w14:paraId="3EA8EEDE">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rPr>
      </w:pPr>
    </w:p>
    <w:p w14:paraId="08A2D364">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p>
    <w:p w14:paraId="335D2B20">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秦皇岛市行政审批局</w:t>
      </w:r>
      <w:r>
        <w:rPr>
          <w:rFonts w:hint="eastAsia" w:ascii="仿宋_GB2312" w:hAnsi="仿宋_GB2312" w:eastAsia="仿宋_GB2312" w:cs="仿宋_GB2312"/>
          <w:spacing w:val="-6"/>
          <w:sz w:val="32"/>
          <w:szCs w:val="32"/>
          <w:lang w:val="en-US" w:eastAsia="zh-CN"/>
        </w:rPr>
        <w:t xml:space="preserve">        </w:t>
      </w:r>
    </w:p>
    <w:p w14:paraId="216378D6">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eastAsia="zh-CN"/>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10</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17</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pacing w:val="-6"/>
          <w:sz w:val="32"/>
          <w:szCs w:val="32"/>
          <w:lang w:val="en-US" w:eastAsia="zh-CN"/>
        </w:rPr>
        <w:t xml:space="preserve">         </w:t>
      </w:r>
    </w:p>
    <w:p w14:paraId="779D9994">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p>
    <w:p w14:paraId="3A112DEF">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书宋二S">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AB9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202D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9202D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mQwZDlkNmViYjQ2ZmZiMDlmZTkwZjUyNWZlNjAifQ=="/>
  </w:docVars>
  <w:rsids>
    <w:rsidRoot w:val="00534647"/>
    <w:rsid w:val="001A64C4"/>
    <w:rsid w:val="001D5FB4"/>
    <w:rsid w:val="00534647"/>
    <w:rsid w:val="006F6E45"/>
    <w:rsid w:val="007E0A00"/>
    <w:rsid w:val="00ED3BD8"/>
    <w:rsid w:val="00FF0D8C"/>
    <w:rsid w:val="01D628BE"/>
    <w:rsid w:val="02533DCA"/>
    <w:rsid w:val="026C13BF"/>
    <w:rsid w:val="047D0429"/>
    <w:rsid w:val="049F51EA"/>
    <w:rsid w:val="05070CB7"/>
    <w:rsid w:val="05F4418C"/>
    <w:rsid w:val="069145C1"/>
    <w:rsid w:val="08251D3B"/>
    <w:rsid w:val="082C51BD"/>
    <w:rsid w:val="09A74B9B"/>
    <w:rsid w:val="09DD006C"/>
    <w:rsid w:val="0A7C0FBB"/>
    <w:rsid w:val="0AA6765B"/>
    <w:rsid w:val="0AF97CC1"/>
    <w:rsid w:val="0C240EFB"/>
    <w:rsid w:val="0C9E3111"/>
    <w:rsid w:val="0CF74903"/>
    <w:rsid w:val="0DB60FD4"/>
    <w:rsid w:val="0E23319F"/>
    <w:rsid w:val="0E236322"/>
    <w:rsid w:val="0E423DBB"/>
    <w:rsid w:val="0E477FDC"/>
    <w:rsid w:val="0E52277A"/>
    <w:rsid w:val="0E544884"/>
    <w:rsid w:val="0E9A6529"/>
    <w:rsid w:val="0EF16B1E"/>
    <w:rsid w:val="0F12721D"/>
    <w:rsid w:val="0F243ABA"/>
    <w:rsid w:val="0F4E7F38"/>
    <w:rsid w:val="0FD75461"/>
    <w:rsid w:val="11047D69"/>
    <w:rsid w:val="116A6B7F"/>
    <w:rsid w:val="11891052"/>
    <w:rsid w:val="11B64EE8"/>
    <w:rsid w:val="11DF3773"/>
    <w:rsid w:val="12B56FA8"/>
    <w:rsid w:val="134F78C3"/>
    <w:rsid w:val="15FFA5B8"/>
    <w:rsid w:val="16B259FD"/>
    <w:rsid w:val="16FE7E29"/>
    <w:rsid w:val="16FFAFAE"/>
    <w:rsid w:val="17B00A83"/>
    <w:rsid w:val="18EDE22F"/>
    <w:rsid w:val="19807918"/>
    <w:rsid w:val="19C76AA2"/>
    <w:rsid w:val="1A0C2EC9"/>
    <w:rsid w:val="1A34036B"/>
    <w:rsid w:val="1ABB2361"/>
    <w:rsid w:val="1B6F1962"/>
    <w:rsid w:val="1BE5119A"/>
    <w:rsid w:val="1DB05E93"/>
    <w:rsid w:val="1DE2526D"/>
    <w:rsid w:val="1EBB4A4B"/>
    <w:rsid w:val="1EE917E9"/>
    <w:rsid w:val="1F9A3113"/>
    <w:rsid w:val="1FB32933"/>
    <w:rsid w:val="1FFD7A61"/>
    <w:rsid w:val="211E5769"/>
    <w:rsid w:val="212033CF"/>
    <w:rsid w:val="213E1E2E"/>
    <w:rsid w:val="21487774"/>
    <w:rsid w:val="220B1CB9"/>
    <w:rsid w:val="22186EB3"/>
    <w:rsid w:val="22712A2C"/>
    <w:rsid w:val="23637A73"/>
    <w:rsid w:val="23E0603F"/>
    <w:rsid w:val="23F41535"/>
    <w:rsid w:val="24333E8B"/>
    <w:rsid w:val="24496731"/>
    <w:rsid w:val="24822F7E"/>
    <w:rsid w:val="24E07A09"/>
    <w:rsid w:val="253245CF"/>
    <w:rsid w:val="25481967"/>
    <w:rsid w:val="25913DA1"/>
    <w:rsid w:val="26372BA9"/>
    <w:rsid w:val="26452102"/>
    <w:rsid w:val="268C5900"/>
    <w:rsid w:val="26D3084E"/>
    <w:rsid w:val="26D853C8"/>
    <w:rsid w:val="26DA5337"/>
    <w:rsid w:val="277B343D"/>
    <w:rsid w:val="284F12A1"/>
    <w:rsid w:val="290C1FD9"/>
    <w:rsid w:val="2A6A527B"/>
    <w:rsid w:val="2A6E5785"/>
    <w:rsid w:val="2A720FDA"/>
    <w:rsid w:val="2B35714B"/>
    <w:rsid w:val="2B651583"/>
    <w:rsid w:val="2B982842"/>
    <w:rsid w:val="2BA73E61"/>
    <w:rsid w:val="2BAFC89E"/>
    <w:rsid w:val="2BCB4FD1"/>
    <w:rsid w:val="2BFF9D26"/>
    <w:rsid w:val="2CAF5097"/>
    <w:rsid w:val="2CDB74AF"/>
    <w:rsid w:val="2CEC5C32"/>
    <w:rsid w:val="2CED5224"/>
    <w:rsid w:val="2DAF126F"/>
    <w:rsid w:val="2E290EE4"/>
    <w:rsid w:val="2E7C66DE"/>
    <w:rsid w:val="2F3B7A37"/>
    <w:rsid w:val="31061FC9"/>
    <w:rsid w:val="31327A6C"/>
    <w:rsid w:val="313D44EF"/>
    <w:rsid w:val="317A4765"/>
    <w:rsid w:val="31A86955"/>
    <w:rsid w:val="31AF3D3F"/>
    <w:rsid w:val="328D0DB0"/>
    <w:rsid w:val="33135D31"/>
    <w:rsid w:val="335C6818"/>
    <w:rsid w:val="336EA4DC"/>
    <w:rsid w:val="33824DF5"/>
    <w:rsid w:val="34185F28"/>
    <w:rsid w:val="344158C2"/>
    <w:rsid w:val="347C50C9"/>
    <w:rsid w:val="348B41CA"/>
    <w:rsid w:val="35531E0D"/>
    <w:rsid w:val="357B4603"/>
    <w:rsid w:val="35AB75E3"/>
    <w:rsid w:val="35D70A87"/>
    <w:rsid w:val="36644422"/>
    <w:rsid w:val="374D153F"/>
    <w:rsid w:val="37F9E04E"/>
    <w:rsid w:val="38807677"/>
    <w:rsid w:val="38ED4A8D"/>
    <w:rsid w:val="39D74A49"/>
    <w:rsid w:val="3A0831CA"/>
    <w:rsid w:val="3A5A3B4E"/>
    <w:rsid w:val="3BBF2232"/>
    <w:rsid w:val="3BF2360E"/>
    <w:rsid w:val="3BFF7C85"/>
    <w:rsid w:val="3C4F8EC4"/>
    <w:rsid w:val="3C624B38"/>
    <w:rsid w:val="3C8DE232"/>
    <w:rsid w:val="3D412847"/>
    <w:rsid w:val="3D4E0F7F"/>
    <w:rsid w:val="3D5B4C61"/>
    <w:rsid w:val="3D620756"/>
    <w:rsid w:val="3D715C36"/>
    <w:rsid w:val="3D95C1D4"/>
    <w:rsid w:val="3DEB59B9"/>
    <w:rsid w:val="3DFFC262"/>
    <w:rsid w:val="3EBB9D42"/>
    <w:rsid w:val="3EDA434E"/>
    <w:rsid w:val="3EFF450E"/>
    <w:rsid w:val="3F7FC6D0"/>
    <w:rsid w:val="3FB8FFBE"/>
    <w:rsid w:val="3FC755E4"/>
    <w:rsid w:val="402537B3"/>
    <w:rsid w:val="40E5668D"/>
    <w:rsid w:val="413B7A6D"/>
    <w:rsid w:val="414D77A0"/>
    <w:rsid w:val="415E6EB8"/>
    <w:rsid w:val="437B0F37"/>
    <w:rsid w:val="43A144D7"/>
    <w:rsid w:val="441F65D2"/>
    <w:rsid w:val="45ED32A4"/>
    <w:rsid w:val="45FC4AF3"/>
    <w:rsid w:val="462F55E2"/>
    <w:rsid w:val="46F770C6"/>
    <w:rsid w:val="47AC3472"/>
    <w:rsid w:val="47F0551D"/>
    <w:rsid w:val="485909E1"/>
    <w:rsid w:val="495443BF"/>
    <w:rsid w:val="4961192A"/>
    <w:rsid w:val="497A7BA2"/>
    <w:rsid w:val="4A0805EA"/>
    <w:rsid w:val="4A9B0782"/>
    <w:rsid w:val="4AB62107"/>
    <w:rsid w:val="4AFCFE52"/>
    <w:rsid w:val="4B4355E5"/>
    <w:rsid w:val="4B514EDA"/>
    <w:rsid w:val="4B765E80"/>
    <w:rsid w:val="4BDC1E4C"/>
    <w:rsid w:val="4C767AF2"/>
    <w:rsid w:val="4C8229F4"/>
    <w:rsid w:val="4D010EEB"/>
    <w:rsid w:val="4E005194"/>
    <w:rsid w:val="4F1B43CA"/>
    <w:rsid w:val="4F4A365C"/>
    <w:rsid w:val="4F7505EE"/>
    <w:rsid w:val="4FBF9426"/>
    <w:rsid w:val="4FC43655"/>
    <w:rsid w:val="4FD729F9"/>
    <w:rsid w:val="51F46A5E"/>
    <w:rsid w:val="52500E9E"/>
    <w:rsid w:val="52BE6086"/>
    <w:rsid w:val="52E60454"/>
    <w:rsid w:val="52F277D3"/>
    <w:rsid w:val="53183CF5"/>
    <w:rsid w:val="53650405"/>
    <w:rsid w:val="54A47AA0"/>
    <w:rsid w:val="54F95B8E"/>
    <w:rsid w:val="55111814"/>
    <w:rsid w:val="5612099E"/>
    <w:rsid w:val="56950707"/>
    <w:rsid w:val="56AED9A3"/>
    <w:rsid w:val="56FEEBAA"/>
    <w:rsid w:val="57D7B5B5"/>
    <w:rsid w:val="57DA211C"/>
    <w:rsid w:val="58040325"/>
    <w:rsid w:val="5886351F"/>
    <w:rsid w:val="58DC437F"/>
    <w:rsid w:val="590E0E11"/>
    <w:rsid w:val="596D0588"/>
    <w:rsid w:val="59B7197C"/>
    <w:rsid w:val="5A22466C"/>
    <w:rsid w:val="5A726CD4"/>
    <w:rsid w:val="5A9C6788"/>
    <w:rsid w:val="5AE9060E"/>
    <w:rsid w:val="5AEF02A4"/>
    <w:rsid w:val="5B314F17"/>
    <w:rsid w:val="5B7EE503"/>
    <w:rsid w:val="5BFA3674"/>
    <w:rsid w:val="5CFB6015"/>
    <w:rsid w:val="5DD15318"/>
    <w:rsid w:val="5EBB44B3"/>
    <w:rsid w:val="5ED708A2"/>
    <w:rsid w:val="5EE4D61D"/>
    <w:rsid w:val="5EFF4359"/>
    <w:rsid w:val="5F5FC2DB"/>
    <w:rsid w:val="5F877DE6"/>
    <w:rsid w:val="5FA728A7"/>
    <w:rsid w:val="5FE78402"/>
    <w:rsid w:val="5FE9456F"/>
    <w:rsid w:val="60B8658C"/>
    <w:rsid w:val="60BA0556"/>
    <w:rsid w:val="60DB398B"/>
    <w:rsid w:val="616B4469"/>
    <w:rsid w:val="617DF742"/>
    <w:rsid w:val="623213C3"/>
    <w:rsid w:val="62AA67D1"/>
    <w:rsid w:val="62AB08DD"/>
    <w:rsid w:val="62B4457F"/>
    <w:rsid w:val="62F12229"/>
    <w:rsid w:val="633E3ADD"/>
    <w:rsid w:val="63991244"/>
    <w:rsid w:val="63B4F1C4"/>
    <w:rsid w:val="65A5045A"/>
    <w:rsid w:val="66892A14"/>
    <w:rsid w:val="66A76F78"/>
    <w:rsid w:val="672B1033"/>
    <w:rsid w:val="67D84A3A"/>
    <w:rsid w:val="68E32EF1"/>
    <w:rsid w:val="695609FE"/>
    <w:rsid w:val="697338B5"/>
    <w:rsid w:val="6991083D"/>
    <w:rsid w:val="6A0018D3"/>
    <w:rsid w:val="6A3A1E22"/>
    <w:rsid w:val="6ACA5340"/>
    <w:rsid w:val="6AFBE2FD"/>
    <w:rsid w:val="6B1336CA"/>
    <w:rsid w:val="6B601CFA"/>
    <w:rsid w:val="6B77B31C"/>
    <w:rsid w:val="6BF6F70B"/>
    <w:rsid w:val="6C4F3886"/>
    <w:rsid w:val="6D953FD0"/>
    <w:rsid w:val="6DBD50C2"/>
    <w:rsid w:val="6DEFBE8D"/>
    <w:rsid w:val="6DF6EE5D"/>
    <w:rsid w:val="6E6FFD58"/>
    <w:rsid w:val="6E972B5D"/>
    <w:rsid w:val="6FA92E43"/>
    <w:rsid w:val="6FCF3AFF"/>
    <w:rsid w:val="6FDFB749"/>
    <w:rsid w:val="6FFA6EFF"/>
    <w:rsid w:val="6FFF02D3"/>
    <w:rsid w:val="6FFF9A75"/>
    <w:rsid w:val="6FFFD07D"/>
    <w:rsid w:val="701336AB"/>
    <w:rsid w:val="702B15B8"/>
    <w:rsid w:val="730F4AE2"/>
    <w:rsid w:val="73426669"/>
    <w:rsid w:val="736875DA"/>
    <w:rsid w:val="736E6677"/>
    <w:rsid w:val="738B4EA6"/>
    <w:rsid w:val="73F9F200"/>
    <w:rsid w:val="743B1A18"/>
    <w:rsid w:val="74AD223F"/>
    <w:rsid w:val="74DE7F3D"/>
    <w:rsid w:val="74F769B5"/>
    <w:rsid w:val="75FAB4DE"/>
    <w:rsid w:val="767F4FE6"/>
    <w:rsid w:val="76C21ABB"/>
    <w:rsid w:val="76C4DCB4"/>
    <w:rsid w:val="76E75AA9"/>
    <w:rsid w:val="77639741"/>
    <w:rsid w:val="777DDBFA"/>
    <w:rsid w:val="779E4CF7"/>
    <w:rsid w:val="77B76890"/>
    <w:rsid w:val="77FEA771"/>
    <w:rsid w:val="77FFCAF9"/>
    <w:rsid w:val="780523AE"/>
    <w:rsid w:val="78A41665"/>
    <w:rsid w:val="78D120BF"/>
    <w:rsid w:val="7A4C55E3"/>
    <w:rsid w:val="7A53410C"/>
    <w:rsid w:val="7A577472"/>
    <w:rsid w:val="7A9279F6"/>
    <w:rsid w:val="7AAF19DE"/>
    <w:rsid w:val="7ADD4C29"/>
    <w:rsid w:val="7AFE2822"/>
    <w:rsid w:val="7B7C2B32"/>
    <w:rsid w:val="7B9A1470"/>
    <w:rsid w:val="7BEE3D32"/>
    <w:rsid w:val="7BF59FBC"/>
    <w:rsid w:val="7CA76A30"/>
    <w:rsid w:val="7CBF2C38"/>
    <w:rsid w:val="7D5F4119"/>
    <w:rsid w:val="7D776F44"/>
    <w:rsid w:val="7D7BA38E"/>
    <w:rsid w:val="7D8459A1"/>
    <w:rsid w:val="7DCF8524"/>
    <w:rsid w:val="7DDF0D63"/>
    <w:rsid w:val="7E0FB349"/>
    <w:rsid w:val="7E53808C"/>
    <w:rsid w:val="7EA7853F"/>
    <w:rsid w:val="7ED246D9"/>
    <w:rsid w:val="7EDB1951"/>
    <w:rsid w:val="7EE9F22B"/>
    <w:rsid w:val="7EFF68B1"/>
    <w:rsid w:val="7F294417"/>
    <w:rsid w:val="7F3D240F"/>
    <w:rsid w:val="7F614E20"/>
    <w:rsid w:val="7F6F5A1B"/>
    <w:rsid w:val="7F753E9A"/>
    <w:rsid w:val="7F7E550E"/>
    <w:rsid w:val="7FB7439F"/>
    <w:rsid w:val="7FBF7C51"/>
    <w:rsid w:val="7FD6A27B"/>
    <w:rsid w:val="7FEDA862"/>
    <w:rsid w:val="7FF7817D"/>
    <w:rsid w:val="7FFD5D18"/>
    <w:rsid w:val="7FFD93AA"/>
    <w:rsid w:val="7FFE5E77"/>
    <w:rsid w:val="7FFE63C7"/>
    <w:rsid w:val="8AE3D017"/>
    <w:rsid w:val="93BFFE25"/>
    <w:rsid w:val="93DE4D53"/>
    <w:rsid w:val="97EF0570"/>
    <w:rsid w:val="9EBE6894"/>
    <w:rsid w:val="9FCF6140"/>
    <w:rsid w:val="A7FE46DD"/>
    <w:rsid w:val="ADE1CE1F"/>
    <w:rsid w:val="AFEFD635"/>
    <w:rsid w:val="B2FF2882"/>
    <w:rsid w:val="B67E1F6E"/>
    <w:rsid w:val="B6C51A8E"/>
    <w:rsid w:val="B71EE1DE"/>
    <w:rsid w:val="B77E0A94"/>
    <w:rsid w:val="BADF173F"/>
    <w:rsid w:val="BBEF4A7A"/>
    <w:rsid w:val="BC7F42EB"/>
    <w:rsid w:val="BD760178"/>
    <w:rsid w:val="BD9B4B70"/>
    <w:rsid w:val="BDFA148F"/>
    <w:rsid w:val="BDFDB831"/>
    <w:rsid w:val="BE1DD3DB"/>
    <w:rsid w:val="BFBD08A6"/>
    <w:rsid w:val="BFCC1B63"/>
    <w:rsid w:val="BFF3702B"/>
    <w:rsid w:val="BFF6C44B"/>
    <w:rsid w:val="BFFB8F7B"/>
    <w:rsid w:val="BFFBE771"/>
    <w:rsid w:val="BFFFFC04"/>
    <w:rsid w:val="C87D361C"/>
    <w:rsid w:val="CFBF8861"/>
    <w:rsid w:val="CFFD4A5A"/>
    <w:rsid w:val="D57FEA81"/>
    <w:rsid w:val="D5BF14D1"/>
    <w:rsid w:val="D7F75EDB"/>
    <w:rsid w:val="D7F785F4"/>
    <w:rsid w:val="D97C0045"/>
    <w:rsid w:val="DAED3199"/>
    <w:rsid w:val="DAFD0D04"/>
    <w:rsid w:val="DBE5F7EA"/>
    <w:rsid w:val="DDED9019"/>
    <w:rsid w:val="DDEF3D90"/>
    <w:rsid w:val="DEB62BC2"/>
    <w:rsid w:val="DEEDE229"/>
    <w:rsid w:val="DF9F197B"/>
    <w:rsid w:val="DFDBDF0B"/>
    <w:rsid w:val="DFEDBDD6"/>
    <w:rsid w:val="DFF9D15B"/>
    <w:rsid w:val="DFFBB3EC"/>
    <w:rsid w:val="E0EF55D7"/>
    <w:rsid w:val="E5CE60C7"/>
    <w:rsid w:val="E6BFB65F"/>
    <w:rsid w:val="E7EF009A"/>
    <w:rsid w:val="EA9FADB6"/>
    <w:rsid w:val="EBABD82E"/>
    <w:rsid w:val="EBBA1790"/>
    <w:rsid w:val="EBEF2E0F"/>
    <w:rsid w:val="EEEF6478"/>
    <w:rsid w:val="EEFD0CF1"/>
    <w:rsid w:val="EFBFE229"/>
    <w:rsid w:val="EFFBF998"/>
    <w:rsid w:val="EFFF396F"/>
    <w:rsid w:val="EFFF7259"/>
    <w:rsid w:val="F175C4DB"/>
    <w:rsid w:val="F2F2EE95"/>
    <w:rsid w:val="F3BF80A2"/>
    <w:rsid w:val="F69D31A6"/>
    <w:rsid w:val="F6EF7FC9"/>
    <w:rsid w:val="F77E3BE2"/>
    <w:rsid w:val="F7A95DB0"/>
    <w:rsid w:val="F7AF9FCD"/>
    <w:rsid w:val="F7B3205D"/>
    <w:rsid w:val="F7B72858"/>
    <w:rsid w:val="F7DA1DE5"/>
    <w:rsid w:val="FA676C91"/>
    <w:rsid w:val="FB718D57"/>
    <w:rsid w:val="FBEF2C16"/>
    <w:rsid w:val="FBEFD815"/>
    <w:rsid w:val="FCBFABA4"/>
    <w:rsid w:val="FCFE9610"/>
    <w:rsid w:val="FD8BC96D"/>
    <w:rsid w:val="FDAB0972"/>
    <w:rsid w:val="FDBE76F7"/>
    <w:rsid w:val="FDDF783E"/>
    <w:rsid w:val="FDEB7BD9"/>
    <w:rsid w:val="FDFF482D"/>
    <w:rsid w:val="FE971EC6"/>
    <w:rsid w:val="FEBF7CC7"/>
    <w:rsid w:val="FEBFBB84"/>
    <w:rsid w:val="FF53F2E3"/>
    <w:rsid w:val="FF6FB73B"/>
    <w:rsid w:val="FF7E06D1"/>
    <w:rsid w:val="FF8F2C32"/>
    <w:rsid w:val="FFABAAB9"/>
    <w:rsid w:val="FFB793F8"/>
    <w:rsid w:val="FFBBA604"/>
    <w:rsid w:val="FFBE428E"/>
    <w:rsid w:val="FFD89AE5"/>
    <w:rsid w:val="FFDA5F15"/>
    <w:rsid w:val="FFEF790A"/>
    <w:rsid w:val="FFF523DA"/>
    <w:rsid w:val="FFF7D625"/>
    <w:rsid w:val="FFFBB72D"/>
    <w:rsid w:val="FFFF8961"/>
    <w:rsid w:val="FFFFB764"/>
    <w:rsid w:val="FFFFE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spacing w:line="500" w:lineRule="exact"/>
      <w:outlineLvl w:val="3"/>
    </w:pPr>
    <w:rPr>
      <w:rFonts w:ascii="Arial" w:hAnsi="Arial" w:cs="宋体"/>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3"/>
    <w:qFormat/>
    <w:uiPriority w:val="0"/>
    <w:pPr>
      <w:adjustRightInd w:val="0"/>
      <w:snapToGrid w:val="0"/>
      <w:spacing w:line="360" w:lineRule="auto"/>
    </w:pPr>
    <w:rPr>
      <w:sz w:val="24"/>
    </w:rPr>
  </w:style>
  <w:style w:type="paragraph" w:styleId="5">
    <w:name w:val="Body Text"/>
    <w:basedOn w:val="1"/>
    <w:next w:val="6"/>
    <w:qFormat/>
    <w:uiPriority w:val="0"/>
    <w:pPr>
      <w:spacing w:line="240" w:lineRule="atLeast"/>
    </w:pPr>
    <w:rPr>
      <w:sz w:val="28"/>
    </w:rPr>
  </w:style>
  <w:style w:type="paragraph" w:customStyle="1" w:styleId="6">
    <w:name w:val="默认段落"/>
    <w:qFormat/>
    <w:uiPriority w:val="0"/>
    <w:pPr>
      <w:widowControl w:val="0"/>
      <w:jc w:val="both"/>
    </w:pPr>
    <w:rPr>
      <w:rFonts w:ascii="Calibri" w:hAnsi="Calibri" w:eastAsia="宋体" w:cs="Times New Roman"/>
      <w:kern w:val="2"/>
      <w:sz w:val="21"/>
      <w:lang w:val="en-US" w:eastAsia="zh-CN" w:bidi="ar-SA"/>
    </w:rPr>
  </w:style>
  <w:style w:type="paragraph" w:styleId="7">
    <w:name w:val="Balloon Text"/>
    <w:basedOn w:val="1"/>
    <w:semiHidden/>
    <w:qFormat/>
    <w:uiPriority w:val="0"/>
    <w:rPr>
      <w:kern w:val="0"/>
      <w:sz w:val="18"/>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adjustRightInd w:val="0"/>
      <w:snapToGrid w:val="0"/>
      <w:spacing w:line="280" w:lineRule="exact"/>
      <w:jc w:val="center"/>
    </w:pPr>
    <w:rPr>
      <w:sz w:val="24"/>
      <w:szCs w:val="20"/>
    </w:rPr>
  </w:style>
  <w:style w:type="paragraph" w:styleId="11">
    <w:name w:val="Body Text First Indent"/>
    <w:basedOn w:val="5"/>
    <w:qFormat/>
    <w:uiPriority w:val="0"/>
    <w:pPr>
      <w:spacing w:after="120"/>
      <w:ind w:firstLine="420" w:firstLineChars="100"/>
    </w:pPr>
    <w:rPr>
      <w:sz w:val="21"/>
      <w:szCs w:val="24"/>
    </w:rPr>
  </w:style>
  <w:style w:type="character" w:styleId="14">
    <w:name w:val="FollowedHyperlink"/>
    <w:basedOn w:val="13"/>
    <w:semiHidden/>
    <w:unhideWhenUsed/>
    <w:qFormat/>
    <w:uiPriority w:val="99"/>
    <w:rPr>
      <w:color w:val="000000"/>
      <w:u w:val="none"/>
    </w:rPr>
  </w:style>
  <w:style w:type="character" w:styleId="15">
    <w:name w:val="Emphasis"/>
    <w:basedOn w:val="13"/>
    <w:qFormat/>
    <w:uiPriority w:val="20"/>
  </w:style>
  <w:style w:type="character" w:styleId="16">
    <w:name w:val="Hyperlink"/>
    <w:basedOn w:val="13"/>
    <w:semiHidden/>
    <w:unhideWhenUsed/>
    <w:qFormat/>
    <w:uiPriority w:val="99"/>
    <w:rPr>
      <w:color w:val="000000"/>
      <w:u w:val="none"/>
    </w:rPr>
  </w:style>
  <w:style w:type="paragraph" w:customStyle="1" w:styleId="17">
    <w:name w:val="Default"/>
    <w:basedOn w:val="18"/>
    <w:qFormat/>
    <w:uiPriority w:val="0"/>
    <w:pPr>
      <w:widowControl w:val="0"/>
      <w:autoSpaceDE w:val="0"/>
      <w:autoSpaceDN w:val="0"/>
      <w:adjustRightInd w:val="0"/>
    </w:pPr>
    <w:rPr>
      <w:color w:val="000000"/>
      <w:sz w:val="24"/>
      <w:szCs w:val="24"/>
      <w:lang w:val="en-US" w:eastAsia="zh-CN" w:bidi="ar-SA"/>
    </w:rPr>
  </w:style>
  <w:style w:type="paragraph" w:customStyle="1" w:styleId="18">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19">
    <w:name w:val="NormalCharacter"/>
    <w:qFormat/>
    <w:uiPriority w:val="0"/>
    <w:rPr>
      <w:rFonts w:ascii="Times New Roman" w:hAnsi="Times New Roman" w:eastAsia="宋体"/>
    </w:rPr>
  </w:style>
  <w:style w:type="character" w:customStyle="1" w:styleId="20">
    <w:name w:val="cur1"/>
    <w:basedOn w:val="13"/>
    <w:qFormat/>
    <w:uiPriority w:val="0"/>
    <w:rPr>
      <w:color w:val="FFFFFF"/>
      <w:shd w:val="clear" w:fill="2F6B98"/>
    </w:rPr>
  </w:style>
  <w:style w:type="character" w:customStyle="1" w:styleId="21">
    <w:name w:val="znspantitle"/>
    <w:basedOn w:val="13"/>
    <w:qFormat/>
    <w:uiPriority w:val="0"/>
    <w:rPr>
      <w:b/>
      <w:bCs/>
      <w:color w:val="333333"/>
    </w:rPr>
  </w:style>
  <w:style w:type="character" w:customStyle="1" w:styleId="22">
    <w:name w:val="lable"/>
    <w:basedOn w:val="13"/>
    <w:qFormat/>
    <w:uiPriority w:val="0"/>
    <w:rPr>
      <w:sz w:val="24"/>
      <w:szCs w:val="24"/>
    </w:rPr>
  </w:style>
  <w:style w:type="character" w:customStyle="1" w:styleId="23">
    <w:name w:val="lishishuju"/>
    <w:basedOn w:val="13"/>
    <w:qFormat/>
    <w:uiPriority w:val="0"/>
    <w:rPr>
      <w:b/>
      <w:bCs/>
      <w:color w:val="000052"/>
      <w:sz w:val="24"/>
      <w:szCs w:val="24"/>
      <w:bdr w:val="single" w:color="E3E3E3" w:sz="6" w:space="0"/>
    </w:rPr>
  </w:style>
  <w:style w:type="character" w:customStyle="1" w:styleId="24">
    <w:name w:val="radio-btn"/>
    <w:basedOn w:val="13"/>
    <w:qFormat/>
    <w:uiPriority w:val="0"/>
    <w:rPr>
      <w:sz w:val="24"/>
      <w:szCs w:val="24"/>
    </w:rPr>
  </w:style>
  <w:style w:type="character" w:customStyle="1" w:styleId="25">
    <w:name w:val="radio-btn1"/>
    <w:basedOn w:val="13"/>
    <w:qFormat/>
    <w:uiPriority w:val="0"/>
    <w:rPr>
      <w:sz w:val="24"/>
      <w:szCs w:val="24"/>
    </w:rPr>
  </w:style>
  <w:style w:type="character" w:customStyle="1" w:styleId="26">
    <w:name w:val="radio-btn2"/>
    <w:basedOn w:val="13"/>
    <w:qFormat/>
    <w:uiPriority w:val="0"/>
    <w:rPr>
      <w:sz w:val="24"/>
      <w:szCs w:val="24"/>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2804</Words>
  <Characters>2964</Characters>
  <Lines>24</Lines>
  <Paragraphs>6</Paragraphs>
  <TotalTime>1221</TotalTime>
  <ScaleCrop>false</ScaleCrop>
  <LinksUpToDate>false</LinksUpToDate>
  <CharactersWithSpaces>3006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2021-04-03T09:03:00Z</dcterms:created>
  <dc:creator>w's'd</dc:creator>
  <cp:lastModifiedBy>administrator</cp:lastModifiedBy>
  <cp:lastPrinted>2025-10-17T14:55:59Z</cp:lastPrinted>
  <dcterms:modified xsi:type="dcterms:W3CDTF">2025-10-17T15:01:31Z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CDC5200774C8B4EB391BEF68FE2CD11B_43</vt:lpwstr>
  </property>
</Properties>
</file>