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697D0">
      <w:pPr>
        <w:keepNext w:val="0"/>
        <w:keepLines w:val="0"/>
        <w:pageBreakBefore w:val="0"/>
        <w:widowControl w:val="0"/>
        <w:kinsoku/>
        <w:wordWrap/>
        <w:overflowPunct/>
        <w:topLinePunct w:val="0"/>
        <w:autoSpaceDE/>
        <w:autoSpaceDN/>
        <w:bidi w:val="0"/>
        <w:adjustRightInd/>
        <w:snapToGrid w:val="0"/>
        <w:spacing w:line="560" w:lineRule="exact"/>
        <w:jc w:val="right"/>
        <w:textAlignment w:val="auto"/>
        <w:rPr>
          <w:rFonts w:ascii="仿宋" w:hAnsi="仿宋" w:eastAsia="仿宋" w:cs="Times New Roman"/>
          <w:b/>
          <w:bCs/>
          <w:kern w:val="0"/>
          <w:sz w:val="44"/>
          <w:szCs w:val="44"/>
        </w:rPr>
      </w:pPr>
      <w:r>
        <w:rPr>
          <w:rFonts w:hint="eastAsia" w:ascii="仿宋" w:hAnsi="仿宋" w:eastAsia="仿宋" w:cs="Times New Roman"/>
          <w:sz w:val="32"/>
          <w:szCs w:val="32"/>
        </w:rPr>
        <w:t xml:space="preserve">     </w:t>
      </w:r>
    </w:p>
    <w:p w14:paraId="632869A0">
      <w:pPr>
        <w:keepNext w:val="0"/>
        <w:keepLines w:val="0"/>
        <w:pageBreakBefore w:val="0"/>
        <w:widowControl w:val="0"/>
        <w:kinsoku/>
        <w:wordWrap/>
        <w:overflowPunct/>
        <w:topLinePunct w:val="0"/>
        <w:autoSpaceDE/>
        <w:autoSpaceDN/>
        <w:bidi w:val="0"/>
        <w:adjustRightInd/>
        <w:snapToGrid/>
        <w:spacing w:before="156" w:beforeLines="50" w:after="157" w:afterLines="50" w:line="560" w:lineRule="exact"/>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秦审批环准许〔202</w:t>
      </w:r>
      <w:r>
        <w:rPr>
          <w:rFonts w:hint="default" w:ascii="Times New Roman" w:hAnsi="Times New Roman" w:eastAsia="仿宋_GB2312" w:cs="仿宋_GB2312"/>
          <w:color w:val="auto"/>
          <w:sz w:val="32"/>
          <w:szCs w:val="32"/>
          <w:lang w:eastAsia="zh-CN"/>
        </w:rPr>
        <w:t>5</w:t>
      </w:r>
      <w:r>
        <w:rPr>
          <w:rFonts w:hint="eastAsia" w:ascii="Times New Roman" w:hAnsi="Times New Roman" w:eastAsia="仿宋_GB2312" w:cs="仿宋_GB2312"/>
          <w:color w:val="auto"/>
          <w:sz w:val="32"/>
          <w:szCs w:val="32"/>
        </w:rPr>
        <w:t>〕0</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-00</w:t>
      </w:r>
      <w:r>
        <w:rPr>
          <w:rFonts w:hint="eastAsia" w:ascii="Times New Roman" w:hAnsi="Times New Roman" w:eastAsia="仿宋_GB2312" w:cs="仿宋_GB2312"/>
          <w:color w:val="auto"/>
          <w:sz w:val="32"/>
          <w:szCs w:val="32"/>
          <w:lang w:val="en-US" w:eastAsia="zh-CN"/>
        </w:rPr>
        <w:t>39</w:t>
      </w:r>
      <w:r>
        <w:rPr>
          <w:rFonts w:hint="eastAsia" w:ascii="Times New Roman" w:hAnsi="Times New Roman" w:eastAsia="仿宋_GB2312" w:cs="仿宋_GB2312"/>
          <w:color w:val="auto"/>
          <w:sz w:val="32"/>
          <w:szCs w:val="32"/>
        </w:rPr>
        <w:t>号</w:t>
      </w:r>
    </w:p>
    <w:p w14:paraId="64573AB6">
      <w:pPr>
        <w:keepNext w:val="0"/>
        <w:keepLines w:val="0"/>
        <w:pageBreakBefore w:val="0"/>
        <w:widowControl/>
        <w:suppressLineNumbers w:val="0"/>
        <w:kinsoku/>
        <w:wordWrap/>
        <w:overflowPunct/>
        <w:topLinePunct w:val="0"/>
        <w:autoSpaceDE/>
        <w:autoSpaceDN/>
        <w:bidi w:val="0"/>
        <w:adjustRightInd/>
        <w:snapToGrid w:val="0"/>
        <w:spacing w:line="640" w:lineRule="exact"/>
        <w:jc w:val="center"/>
        <w:textAlignment w:val="auto"/>
        <w:rPr>
          <w:rFonts w:hint="default"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t>关于</w:t>
      </w:r>
      <w:r>
        <w:rPr>
          <w:rFonts w:hint="default" w:ascii="方正小标宋简体" w:hAnsi="方正小标宋简体" w:eastAsia="方正小标宋简体" w:cs="方正小标宋简体"/>
          <w:kern w:val="44"/>
          <w:sz w:val="44"/>
          <w:szCs w:val="44"/>
          <w:lang w:val="en-US" w:eastAsia="zh-CN"/>
        </w:rPr>
        <w:t>青龙建昊140MW光伏项目（重新报批）</w:t>
      </w:r>
      <w:r>
        <w:rPr>
          <w:rFonts w:hint="eastAsia" w:ascii="方正小标宋简体" w:hAnsi="方正小标宋简体" w:eastAsia="方正小标宋简体" w:cs="方正小标宋简体"/>
          <w:kern w:val="44"/>
          <w:sz w:val="44"/>
          <w:szCs w:val="44"/>
        </w:rPr>
        <w:t>环境影响报告表的批复</w:t>
      </w:r>
    </w:p>
    <w:p w14:paraId="22A3C4DB">
      <w:pPr>
        <w:keepNext w:val="0"/>
        <w:keepLines w:val="0"/>
        <w:pageBreakBefore w:val="0"/>
        <w:widowControl w:val="0"/>
        <w:kinsoku/>
        <w:wordWrap/>
        <w:overflowPunct/>
        <w:topLinePunct w:val="0"/>
        <w:autoSpaceDE/>
        <w:autoSpaceDN/>
        <w:bidi w:val="0"/>
        <w:adjustRightInd/>
        <w:spacing w:line="560" w:lineRule="exact"/>
        <w:ind w:left="0" w:right="0"/>
        <w:textAlignment w:val="auto"/>
        <w:rPr>
          <w:rFonts w:hint="default" w:ascii="仿宋" w:hAnsi="仿宋" w:eastAsia="仿宋" w:cs="Times New Roman"/>
          <w:sz w:val="32"/>
          <w:szCs w:val="32"/>
          <w:lang w:eastAsia="zh-CN"/>
        </w:rPr>
      </w:pPr>
    </w:p>
    <w:p w14:paraId="5B1C24F5">
      <w:pPr>
        <w:keepNext w:val="0"/>
        <w:keepLines w:val="0"/>
        <w:pageBreakBefore w:val="0"/>
        <w:widowControl/>
        <w:kinsoku/>
        <w:wordWrap/>
        <w:overflowPunct/>
        <w:topLinePunct w:val="0"/>
        <w:autoSpaceDE/>
        <w:autoSpaceDN/>
        <w:bidi w:val="0"/>
        <w:adjustRightInd w:val="0"/>
        <w:snapToGrid w:val="0"/>
        <w:spacing w:line="560" w:lineRule="exact"/>
        <w:ind w:left="0" w:right="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中电建青龙满族自治县新能源有限公司</w:t>
      </w:r>
      <w:r>
        <w:rPr>
          <w:rFonts w:hint="eastAsia" w:ascii="仿宋_GB2312" w:hAnsi="仿宋_GB2312" w:eastAsia="仿宋_GB2312" w:cs="仿宋_GB2312"/>
          <w:sz w:val="32"/>
          <w:szCs w:val="32"/>
        </w:rPr>
        <w:t>：</w:t>
      </w:r>
    </w:p>
    <w:p w14:paraId="6E4BA295">
      <w:pPr>
        <w:keepNext w:val="0"/>
        <w:keepLines w:val="0"/>
        <w:pageBreakBefore w:val="0"/>
        <w:widowControl/>
        <w:kinsoku/>
        <w:wordWrap/>
        <w:overflowPunct/>
        <w:topLinePunct w:val="0"/>
        <w:autoSpaceDE/>
        <w:autoSpaceDN/>
        <w:bidi w:val="0"/>
        <w:adjustRightInd w:val="0"/>
        <w:snapToGrid w:val="0"/>
        <w:spacing w:line="560" w:lineRule="exact"/>
        <w:ind w:left="0" w:right="0"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所</w:t>
      </w:r>
      <w:r>
        <w:rPr>
          <w:rFonts w:hint="eastAsia" w:ascii="仿宋_GB2312" w:hAnsi="仿宋_GB2312" w:eastAsia="仿宋_GB2312" w:cs="仿宋_GB2312"/>
          <w:sz w:val="32"/>
          <w:szCs w:val="32"/>
        </w:rPr>
        <w:t>报《</w:t>
      </w:r>
      <w:r>
        <w:rPr>
          <w:rFonts w:hint="default" w:ascii="仿宋_GB2312" w:hAnsi="仿宋_GB2312" w:eastAsia="仿宋_GB2312" w:cs="仿宋_GB2312"/>
          <w:sz w:val="32"/>
          <w:szCs w:val="32"/>
          <w:lang w:val="en-US" w:eastAsia="zh-CN"/>
        </w:rPr>
        <w:t>青龙建昊140MW光伏项目（重新报批）</w:t>
      </w:r>
      <w:r>
        <w:rPr>
          <w:rFonts w:hint="eastAsia" w:ascii="仿宋_GB2312" w:hAnsi="仿宋_GB2312" w:eastAsia="仿宋_GB2312" w:cs="仿宋_GB2312"/>
          <w:sz w:val="32"/>
          <w:szCs w:val="32"/>
        </w:rPr>
        <w:t>环境影响报告表》（以下简称《报告表》）</w:t>
      </w:r>
      <w:r>
        <w:rPr>
          <w:rFonts w:hint="eastAsia" w:ascii="仿宋_GB2312" w:hAnsi="仿宋_GB2312" w:eastAsia="仿宋_GB2312" w:cs="仿宋_GB2312"/>
          <w:color w:val="000000"/>
          <w:sz w:val="32"/>
          <w:szCs w:val="32"/>
          <w:shd w:val="clear" w:color="auto" w:fill="FFFFFF"/>
        </w:rPr>
        <w:t>审批申请</w:t>
      </w:r>
      <w:r>
        <w:rPr>
          <w:rFonts w:hint="eastAsia" w:ascii="仿宋_GB2312" w:hAnsi="仿宋_GB2312" w:eastAsia="仿宋_GB2312" w:cs="仿宋_GB2312"/>
          <w:sz w:val="32"/>
          <w:szCs w:val="32"/>
        </w:rPr>
        <w:t>及相关材料</w:t>
      </w:r>
      <w:r>
        <w:rPr>
          <w:rFonts w:hint="eastAsia" w:ascii="仿宋_GB2312" w:hAnsi="仿宋_GB2312" w:eastAsia="仿宋_GB2312" w:cs="仿宋_GB2312"/>
          <w:color w:val="000000"/>
          <w:kern w:val="0"/>
          <w:sz w:val="32"/>
          <w:szCs w:val="32"/>
        </w:rPr>
        <w:t>收悉。</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kern w:val="0"/>
          <w:sz w:val="32"/>
          <w:szCs w:val="32"/>
          <w:lang w:val="en-US" w:eastAsia="zh-CN"/>
        </w:rPr>
        <w:t>环境影响</w:t>
      </w:r>
      <w:r>
        <w:rPr>
          <w:rFonts w:hint="eastAsia" w:ascii="仿宋_GB2312" w:hAnsi="仿宋_GB2312" w:eastAsia="仿宋_GB2312" w:cs="仿宋_GB2312"/>
          <w:color w:val="auto"/>
          <w:kern w:val="0"/>
          <w:sz w:val="32"/>
          <w:szCs w:val="32"/>
        </w:rPr>
        <w:t>报告</w:t>
      </w:r>
      <w:r>
        <w:rPr>
          <w:rFonts w:hint="eastAsia" w:ascii="仿宋_GB2312" w:hAnsi="仿宋_GB2312" w:eastAsia="仿宋_GB2312" w:cs="仿宋_GB2312"/>
          <w:color w:val="auto"/>
          <w:kern w:val="0"/>
          <w:sz w:val="32"/>
          <w:szCs w:val="32"/>
          <w:lang w:val="en-US" w:eastAsia="zh-CN"/>
        </w:rPr>
        <w:t>表</w:t>
      </w:r>
      <w:r>
        <w:rPr>
          <w:rFonts w:hint="eastAsia" w:ascii="仿宋_GB2312" w:hAnsi="仿宋_GB2312" w:eastAsia="仿宋_GB2312" w:cs="仿宋_GB2312"/>
          <w:color w:val="auto"/>
          <w:kern w:val="0"/>
          <w:sz w:val="32"/>
          <w:szCs w:val="32"/>
        </w:rPr>
        <w:t>结论、专家意见</w:t>
      </w:r>
      <w:r>
        <w:rPr>
          <w:rFonts w:hint="eastAsia" w:ascii="仿宋_GB2312" w:hAnsi="仿宋_GB2312" w:eastAsia="仿宋_GB2312" w:cs="仿宋_GB2312"/>
          <w:color w:val="auto"/>
          <w:kern w:val="0"/>
          <w:sz w:val="32"/>
          <w:szCs w:val="32"/>
          <w:lang w:val="en-US" w:eastAsia="zh-CN"/>
        </w:rPr>
        <w:t>、项目</w:t>
      </w:r>
      <w:r>
        <w:rPr>
          <w:rFonts w:hint="eastAsia" w:ascii="仿宋_GB2312" w:hAnsi="仿宋_GB2312" w:eastAsia="仿宋_GB2312" w:cs="仿宋_GB2312"/>
          <w:color w:val="auto"/>
          <w:kern w:val="0"/>
          <w:sz w:val="32"/>
          <w:szCs w:val="32"/>
        </w:rPr>
        <w:t>环境影响特点及</w:t>
      </w:r>
      <w:r>
        <w:rPr>
          <w:rFonts w:hint="eastAsia" w:ascii="仿宋_GB2312" w:hAnsi="仿宋_GB2312" w:eastAsia="仿宋_GB2312" w:cs="仿宋_GB2312"/>
          <w:color w:val="auto"/>
          <w:kern w:val="0"/>
          <w:sz w:val="32"/>
          <w:szCs w:val="32"/>
          <w:lang w:val="en-US" w:eastAsia="zh-CN"/>
        </w:rPr>
        <w:t>公示反馈等方面情况</w:t>
      </w:r>
      <w:r>
        <w:rPr>
          <w:rFonts w:hint="eastAsia" w:ascii="仿宋_GB2312" w:hAnsi="仿宋_GB2312" w:eastAsia="仿宋_GB2312" w:cs="仿宋_GB2312"/>
          <w:color w:val="auto"/>
          <w:kern w:val="0"/>
          <w:sz w:val="32"/>
          <w:szCs w:val="32"/>
        </w:rPr>
        <w:t xml:space="preserve">，经研究，现批复如下： </w:t>
      </w:r>
    </w:p>
    <w:p w14:paraId="3E28923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项目建设内容和总体要求</w:t>
      </w:r>
    </w:p>
    <w:p w14:paraId="2F3D81C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日,我局以秦审批环准许〔202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〕02-001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号文件，批复了</w:t>
      </w:r>
      <w:r>
        <w:rPr>
          <w:rFonts w:hint="eastAsia" w:ascii="仿宋_GB2312" w:eastAsia="仿宋_GB2312" w:cs="仿宋_GB2312"/>
          <w:sz w:val="32"/>
          <w:szCs w:val="32"/>
          <w:lang w:eastAsia="zh-CN"/>
        </w:rPr>
        <w:t>《</w:t>
      </w:r>
      <w:r>
        <w:rPr>
          <w:rFonts w:hint="eastAsia" w:ascii="仿宋_GB2312" w:eastAsia="仿宋_GB2312" w:cs="仿宋_GB2312"/>
          <w:sz w:val="32"/>
          <w:szCs w:val="32"/>
        </w:rPr>
        <w:t>青龙建昊140MW光伏项目环境影响报告表</w:t>
      </w:r>
      <w:r>
        <w:rPr>
          <w:rFonts w:hint="eastAsia" w:ascii="仿宋_GB2312" w:eastAsia="仿宋_GB2312" w:cs="仿宋_GB2312"/>
          <w:sz w:val="32"/>
          <w:szCs w:val="32"/>
          <w:lang w:eastAsia="zh-CN"/>
        </w:rPr>
        <w:t>》，环评文件批复后，该项目进行了调整，调整后主要建设内容：本次光伏发电项目规划容量为140MW，同土门子215MW光伏发电项目共用升压站，该项目光伏厂区总占地4843.764亩（本项目实际用地面积127.0473公顷，其中光伏区125.9559公顷，检修道路1.0914公顷），购置安装光伏组件和集电线路。</w:t>
      </w:r>
    </w:p>
    <w:p w14:paraId="01FBE1B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本光伏项目选用590Wp单晶硅双面N型组件，采用固定式支架，组件安装角度为30°，光伏组件共计约264048块。项目规划交流侧装机容量为140MW，采用19个3.2MW光伏方阵、12个2.56MW光伏方阵、16个1.92MW光伏方阵、8个1.6MW光伏方阵和5个0.96MW光伏方阵。</w:t>
      </w:r>
    </w:p>
    <w:p w14:paraId="7A375BB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本项目光伏区光伏组件由逆变器交流输出0.8kV，通过升压变压器升压至35kV，经5回35kV集电线路接入已建成的青龙建昊土门子220kV升压站，25年平均发电量为209965.56MWh，年等效利用小时数为1363h。</w:t>
      </w:r>
    </w:p>
    <w:p w14:paraId="67631F3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本项目不涉及送出线路建设。</w:t>
      </w:r>
    </w:p>
    <w:p w14:paraId="3514644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eastAsia="zh-CN"/>
        </w:rPr>
        <w:t>项目总投资</w:t>
      </w:r>
      <w:r>
        <w:rPr>
          <w:rFonts w:hint="eastAsia" w:ascii="仿宋_GB2312" w:eastAsia="仿宋_GB2312" w:cs="仿宋_GB2312"/>
          <w:color w:val="auto"/>
          <w:sz w:val="32"/>
          <w:szCs w:val="32"/>
          <w:lang w:val="en-US" w:eastAsia="zh-CN"/>
        </w:rPr>
        <w:t>：</w:t>
      </w:r>
      <w:r>
        <w:rPr>
          <w:rFonts w:hint="default" w:ascii="仿宋_GB2312" w:eastAsia="仿宋_GB2312" w:cs="仿宋_GB2312"/>
          <w:color w:val="auto"/>
          <w:sz w:val="32"/>
          <w:szCs w:val="32"/>
          <w:lang w:eastAsia="zh-CN"/>
        </w:rPr>
        <w:t>59131.28</w:t>
      </w:r>
      <w:r>
        <w:rPr>
          <w:rFonts w:hint="eastAsia" w:ascii="仿宋_GB2312" w:eastAsia="仿宋_GB2312" w:cs="仿宋_GB2312"/>
          <w:color w:val="auto"/>
          <w:sz w:val="32"/>
          <w:szCs w:val="32"/>
          <w:lang w:val="en-US" w:eastAsia="zh-CN"/>
        </w:rPr>
        <w:t>万</w:t>
      </w:r>
      <w:r>
        <w:rPr>
          <w:rFonts w:hint="eastAsia" w:ascii="仿宋_GB2312" w:eastAsia="仿宋_GB2312" w:cs="仿宋_GB2312"/>
          <w:color w:val="auto"/>
          <w:sz w:val="32"/>
          <w:szCs w:val="32"/>
          <w:lang w:eastAsia="zh-CN"/>
        </w:rPr>
        <w:t>元，</w:t>
      </w:r>
      <w:r>
        <w:rPr>
          <w:rFonts w:hint="eastAsia" w:ascii="仿宋_GB2312" w:eastAsia="仿宋_GB2312" w:cs="仿宋_GB2312"/>
          <w:color w:val="auto"/>
          <w:sz w:val="32"/>
          <w:szCs w:val="32"/>
          <w:lang w:val="en-US" w:eastAsia="zh-CN"/>
        </w:rPr>
        <w:t>环保投资：300万元，环保投资比例：</w:t>
      </w:r>
      <w:r>
        <w:rPr>
          <w:rFonts w:hint="default" w:ascii="仿宋_GB2312" w:eastAsia="仿宋_GB2312" w:cs="仿宋_GB2312"/>
          <w:color w:val="auto"/>
          <w:sz w:val="32"/>
          <w:szCs w:val="32"/>
          <w:lang w:val="en-US" w:eastAsia="zh-CN"/>
        </w:rPr>
        <w:t>0.51</w:t>
      </w:r>
      <w:r>
        <w:rPr>
          <w:rFonts w:hint="eastAsia" w:ascii="仿宋_GB2312" w:eastAsia="仿宋_GB2312" w:cs="仿宋_GB2312"/>
          <w:color w:val="auto"/>
          <w:sz w:val="32"/>
          <w:szCs w:val="32"/>
          <w:lang w:val="en-US" w:eastAsia="zh-CN"/>
        </w:rPr>
        <w:t>%。</w:t>
      </w:r>
    </w:p>
    <w:p w14:paraId="391EC791">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项目不属于《产业结构调整指导目录》（20</w:t>
      </w:r>
      <w:r>
        <w:rPr>
          <w:rFonts w:hint="default" w:ascii="仿宋_GB2312" w:hAnsi="仿宋_GB2312" w:eastAsia="仿宋_GB2312" w:cs="仿宋_GB2312"/>
          <w:color w:val="auto"/>
          <w:kern w:val="0"/>
          <w:sz w:val="32"/>
          <w:szCs w:val="32"/>
        </w:rPr>
        <w:t>24</w:t>
      </w:r>
      <w:r>
        <w:rPr>
          <w:rFonts w:hint="eastAsia" w:ascii="仿宋_GB2312" w:hAnsi="仿宋_GB2312" w:eastAsia="仿宋_GB2312" w:cs="仿宋_GB2312"/>
          <w:color w:val="auto"/>
          <w:kern w:val="0"/>
          <w:sz w:val="32"/>
          <w:szCs w:val="32"/>
        </w:rPr>
        <w:t>年本）限制、淘汰类；本项目</w:t>
      </w:r>
      <w:r>
        <w:rPr>
          <w:rFonts w:hint="eastAsia" w:ascii="仿宋_GB2312" w:hAnsi="仿宋_GB2312" w:eastAsia="仿宋_GB2312" w:cs="仿宋_GB2312"/>
          <w:color w:val="auto"/>
          <w:kern w:val="0"/>
          <w:sz w:val="32"/>
          <w:szCs w:val="32"/>
          <w:lang w:val="en-US" w:eastAsia="zh-CN"/>
        </w:rPr>
        <w:t>不属于《市场准入负面清单》（2025年版）中禁止准入类项目</w:t>
      </w: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该项目已通过</w:t>
      </w:r>
      <w:r>
        <w:rPr>
          <w:rFonts w:hint="default" w:ascii="仿宋_GB2312" w:hAnsi="仿宋_GB2312" w:eastAsia="仿宋_GB2312" w:cs="仿宋_GB2312"/>
          <w:color w:val="auto"/>
          <w:kern w:val="0"/>
          <w:sz w:val="32"/>
          <w:szCs w:val="32"/>
          <w:lang w:val="en-US" w:eastAsia="zh-CN"/>
        </w:rPr>
        <w:t>秦皇岛市</w:t>
      </w:r>
      <w:r>
        <w:rPr>
          <w:rFonts w:hint="eastAsia" w:ascii="仿宋_GB2312" w:hAnsi="仿宋_GB2312" w:eastAsia="仿宋_GB2312" w:cs="仿宋_GB2312"/>
          <w:color w:val="auto"/>
          <w:kern w:val="0"/>
          <w:sz w:val="32"/>
          <w:szCs w:val="32"/>
          <w:lang w:val="en-US" w:eastAsia="zh-CN"/>
        </w:rPr>
        <w:t>青龙满族自治县行政审批局备案（备案编号：青审批投资备〔2025〕722号）。</w:t>
      </w:r>
    </w:p>
    <w:p w14:paraId="583A2899">
      <w:pPr>
        <w:pStyle w:val="7"/>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项目建设须符合</w:t>
      </w:r>
      <w:r>
        <w:rPr>
          <w:rFonts w:hint="eastAsia" w:ascii="仿宋_GB2312" w:hAnsi="仿宋_GB2312" w:eastAsia="仿宋_GB2312" w:cs="仿宋_GB2312"/>
          <w:kern w:val="0"/>
          <w:sz w:val="32"/>
          <w:szCs w:val="32"/>
          <w:lang w:eastAsia="zh-CN"/>
        </w:rPr>
        <w:t>“三线一单”空间管控要求；项目建设须符合城乡建设、土地利用、地方产业布局等相关规划要</w:t>
      </w:r>
      <w:r>
        <w:rPr>
          <w:rFonts w:hint="eastAsia" w:ascii="仿宋_GB2312" w:hAnsi="仿宋_GB2312" w:eastAsia="仿宋_GB2312" w:cs="仿宋_GB2312"/>
          <w:color w:val="auto"/>
          <w:kern w:val="0"/>
          <w:sz w:val="32"/>
          <w:szCs w:val="32"/>
          <w:lang w:eastAsia="zh-CN"/>
        </w:rPr>
        <w:t>求</w:t>
      </w:r>
      <w:r>
        <w:rPr>
          <w:rFonts w:hint="eastAsia" w:ascii="仿宋_GB2312" w:hAnsi="仿宋_GB2312" w:eastAsia="仿宋_GB2312" w:cs="仿宋_GB2312"/>
          <w:color w:val="auto"/>
          <w:kern w:val="0"/>
          <w:sz w:val="32"/>
          <w:szCs w:val="32"/>
        </w:rPr>
        <w:t>。</w:t>
      </w:r>
    </w:p>
    <w:p w14:paraId="33F594FA">
      <w:pPr>
        <w:pStyle w:val="7"/>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auto"/>
          <w:kern w:val="0"/>
          <w:sz w:val="32"/>
          <w:szCs w:val="32"/>
        </w:rPr>
        <w:t>该《报告表》已通过河北超泰环保科技有限公司评估，结合评估意见（超泰环评［2025］02</w:t>
      </w:r>
      <w:r>
        <w:rPr>
          <w:rFonts w:hint="default" w:ascii="仿宋_GB2312" w:hAnsi="仿宋_GB2312" w:eastAsia="仿宋_GB2312" w:cs="仿宋_GB2312"/>
          <w:color w:val="auto"/>
          <w:kern w:val="0"/>
          <w:sz w:val="32"/>
          <w:szCs w:val="32"/>
          <w:lang w:val="en-US"/>
        </w:rPr>
        <w:t>9</w:t>
      </w:r>
      <w:r>
        <w:rPr>
          <w:rFonts w:hint="eastAsia" w:ascii="仿宋_GB2312" w:hAnsi="仿宋_GB2312" w:eastAsia="仿宋_GB2312" w:cs="仿宋_GB2312"/>
          <w:color w:val="auto"/>
          <w:kern w:val="0"/>
          <w:sz w:val="32"/>
          <w:szCs w:val="32"/>
        </w:rPr>
        <w:t>号）及公示反馈情况，</w:t>
      </w:r>
      <w:r>
        <w:rPr>
          <w:rFonts w:hint="eastAsia" w:ascii="仿宋_GB2312" w:hAnsi="仿宋_GB2312" w:eastAsia="仿宋_GB2312" w:cs="仿宋_GB2312"/>
          <w:color w:val="000000"/>
          <w:kern w:val="0"/>
          <w:sz w:val="32"/>
          <w:szCs w:val="32"/>
        </w:rPr>
        <w:t>在项目符合国家和地方产业政策，选址符合用地规划及环境保护功能区划以及全面落实环境影响报告表提出的各项污染防治措施后，工程建设对环境的不利影响能够得到减缓和控制。我局原则同意环境影响报告表中所列建设项目的地点、性质、规模、工艺和拟采取的环境保护措施。</w:t>
      </w:r>
    </w:p>
    <w:p w14:paraId="74134F0E">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项目须加强生产全过程管理，强化综合利用，降低能耗物耗，减少各种污染物的产生量和排放量。同时，你公司在项目建设和运行过程中要认真落实《报告表》提出的各项污染防治措施，确保各治污设施正常运行，各种污染物达标排放，各项环保设施设计应当由具有环保设施工程设计资质的单位承担，按照要求</w:t>
      </w:r>
      <w:r>
        <w:rPr>
          <w:rFonts w:hint="eastAsia" w:ascii="仿宋_GB2312" w:hAnsi="仿宋_GB2312" w:eastAsia="仿宋_GB2312" w:cs="仿宋_GB2312"/>
          <w:spacing w:val="-6"/>
          <w:sz w:val="32"/>
          <w:szCs w:val="32"/>
        </w:rPr>
        <w:t>认真落实各项污染防治措施，加强环保设施运营管理，确保满足相关要求，</w:t>
      </w:r>
      <w:r>
        <w:rPr>
          <w:rFonts w:hint="eastAsia" w:ascii="仿宋_GB2312" w:hAnsi="仿宋_GB2312" w:eastAsia="仿宋_GB2312" w:cs="仿宋_GB2312"/>
          <w:color w:val="000000"/>
          <w:kern w:val="0"/>
          <w:sz w:val="32"/>
          <w:szCs w:val="32"/>
        </w:rPr>
        <w:t>并重点做好以下工作：</w:t>
      </w:r>
    </w:p>
    <w:p w14:paraId="63F7B7AE">
      <w:pPr>
        <w:keepNext w:val="0"/>
        <w:keepLines w:val="0"/>
        <w:pageBreakBefore w:val="0"/>
        <w:widowControl/>
        <w:kinsoku/>
        <w:wordWrap/>
        <w:overflowPunct/>
        <w:topLinePunct w:val="0"/>
        <w:autoSpaceDE/>
        <w:autoSpaceDN/>
        <w:bidi w:val="0"/>
        <w:adjustRightInd w:val="0"/>
        <w:snapToGrid w:val="0"/>
        <w:spacing w:line="560" w:lineRule="exact"/>
        <w:ind w:left="0" w:right="0" w:firstLine="616"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eastAsia="zh-CN"/>
        </w:rPr>
        <w:t>（一）</w:t>
      </w:r>
      <w:r>
        <w:rPr>
          <w:rFonts w:hint="eastAsia" w:ascii="仿宋_GB2312" w:hAnsi="仿宋_GB2312" w:eastAsia="仿宋_GB2312" w:cs="仿宋_GB2312"/>
          <w:color w:val="000000"/>
          <w:spacing w:val="-6"/>
          <w:sz w:val="32"/>
          <w:szCs w:val="32"/>
        </w:rPr>
        <w:t>加强施工期环境管理，减少施工对环境的影响</w:t>
      </w:r>
    </w:p>
    <w:p w14:paraId="72497E6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sz w:val="32"/>
          <w:szCs w:val="32"/>
          <w:lang w:eastAsia="zh-CN"/>
        </w:rPr>
        <w:t>项目施工期须</w:t>
      </w:r>
      <w:r>
        <w:rPr>
          <w:rFonts w:hint="eastAsia" w:ascii="仿宋_GB2312" w:hAnsi="仿宋_GB2312" w:eastAsia="仿宋_GB2312" w:cs="仿宋_GB2312"/>
          <w:sz w:val="32"/>
          <w:szCs w:val="32"/>
        </w:rPr>
        <w:t>严格落实生态环境保护措施。施工期应严格控制施工范围，合理布局施工场地，</w:t>
      </w:r>
      <w:r>
        <w:rPr>
          <w:rFonts w:hint="eastAsia" w:ascii="仿宋_GB2312" w:hAnsi="仿宋_GB2312" w:eastAsia="仿宋_GB2312" w:cs="仿宋_GB2312"/>
          <w:sz w:val="32"/>
          <w:szCs w:val="32"/>
          <w:lang w:eastAsia="zh-CN"/>
        </w:rPr>
        <w:t>合理安排施工时间，</w:t>
      </w:r>
      <w:r>
        <w:rPr>
          <w:rFonts w:hint="eastAsia" w:ascii="仿宋_GB2312" w:hAnsi="仿宋_GB2312" w:eastAsia="仿宋_GB2312" w:cs="仿宋_GB2312"/>
          <w:sz w:val="32"/>
          <w:szCs w:val="32"/>
        </w:rPr>
        <w:t>减少对地表扰动、植被破坏以及野生动物栖息地的影响</w:t>
      </w:r>
      <w:r>
        <w:rPr>
          <w:rFonts w:hint="eastAsia" w:ascii="仿宋_GB2312" w:hAnsi="仿宋_GB2312" w:eastAsia="仿宋_GB2312" w:cs="仿宋_GB2312"/>
          <w:color w:val="000000"/>
          <w:spacing w:val="-6"/>
          <w:sz w:val="32"/>
          <w:szCs w:val="32"/>
        </w:rPr>
        <w:t>。</w:t>
      </w:r>
      <w:r>
        <w:rPr>
          <w:rFonts w:hint="eastAsia" w:ascii="仿宋_GB2312" w:hAnsi="仿宋_GB2312" w:eastAsia="仿宋_GB2312" w:cs="仿宋_GB2312"/>
          <w:sz w:val="32"/>
          <w:szCs w:val="32"/>
        </w:rPr>
        <w:t>做好土石方平衡，减少弃渣量</w:t>
      </w:r>
      <w:r>
        <w:rPr>
          <w:rFonts w:hint="eastAsia" w:ascii="仿宋_GB2312" w:hAnsi="仿宋_GB2312" w:eastAsia="仿宋_GB2312" w:cs="仿宋_GB2312"/>
          <w:sz w:val="32"/>
          <w:szCs w:val="32"/>
          <w:lang w:eastAsia="zh-CN"/>
        </w:rPr>
        <w:t>采取分段、分片开挖，作业面洒水、喷雾等防尘措施，并按《报告表》要求做好生态恢复和水土流失防护措施。</w:t>
      </w:r>
      <w:r>
        <w:rPr>
          <w:rFonts w:hint="eastAsia" w:ascii="仿宋_GB2312" w:hAnsi="仿宋_GB2312" w:eastAsia="仿宋_GB2312" w:cs="仿宋_GB2312"/>
          <w:color w:val="000000"/>
          <w:spacing w:val="-6"/>
          <w:sz w:val="32"/>
          <w:szCs w:val="32"/>
        </w:rPr>
        <w:t>建设及施工单位要严格执行《河北省扬尘污染防治办法》(河北省人民政府令[2020]第1号)、《河北省扬尘治理18条》、《2024年建筑施工扬尘污染防治工作方案》（冀建质安函〔2024〕115号）中有关施工扬尘的管理规定，同时结合《环境空气细颗粒物污染综合防治技术政策》及同类施工场地采取的抑尘措施，落实各项控制扬尘污染措施，施工场地扬尘排放执行河北省地方标准《施工场地扬尘排放标准》（DB13/2934-2019）的要求。</w:t>
      </w:r>
      <w:r>
        <w:rPr>
          <w:rFonts w:hint="eastAsia" w:ascii="仿宋_GB2312" w:hAnsi="仿宋_GB2312" w:eastAsia="仿宋_GB2312" w:cs="仿宋_GB2312"/>
          <w:color w:val="000000"/>
          <w:spacing w:val="-6"/>
          <w:sz w:val="32"/>
          <w:szCs w:val="32"/>
          <w:lang w:val="en-US" w:eastAsia="zh-CN"/>
        </w:rPr>
        <w:t>施工废水主要为车辆清洗废水，经沉淀池沉淀处理后回用于施工过程。本项目在施工区设置临时旱厕，定期清掏用作农肥</w:t>
      </w:r>
      <w:r>
        <w:rPr>
          <w:rFonts w:hint="eastAsia" w:ascii="仿宋_GB2312" w:hAnsi="仿宋_GB2312" w:eastAsia="仿宋_GB2312" w:cs="仿宋_GB2312"/>
          <w:color w:val="000000"/>
          <w:spacing w:val="-6"/>
          <w:sz w:val="32"/>
          <w:szCs w:val="32"/>
          <w:lang w:eastAsia="zh-CN"/>
        </w:rPr>
        <w:t>。项目</w:t>
      </w:r>
      <w:r>
        <w:rPr>
          <w:rFonts w:hint="eastAsia" w:ascii="仿宋_GB2312" w:hAnsi="仿宋_GB2312" w:eastAsia="仿宋_GB2312" w:cs="仿宋_GB2312"/>
          <w:color w:val="000000"/>
          <w:spacing w:val="-6"/>
          <w:sz w:val="32"/>
          <w:szCs w:val="32"/>
        </w:rPr>
        <w:t>采用低噪声施工机械，避免高噪声机械同时作业，合理安排施工时间及进度，禁止夜间施工，确需夜间施工的，提前到相关部门登记并告知周边村民，施工阶段作业噪声要满足《建筑施工场界环境噪声排放标准》(GB12523-2011)</w:t>
      </w:r>
      <w:r>
        <w:rPr>
          <w:rFonts w:hint="eastAsia" w:ascii="仿宋_GB2312" w:hAnsi="仿宋_GB2312" w:eastAsia="仿宋_GB2312" w:cs="仿宋_GB2312"/>
          <w:color w:val="000000"/>
          <w:spacing w:val="-6"/>
          <w:sz w:val="32"/>
          <w:szCs w:val="32"/>
          <w:lang w:eastAsia="zh-CN"/>
        </w:rPr>
        <w:t>中限值</w:t>
      </w:r>
      <w:r>
        <w:rPr>
          <w:rFonts w:hint="eastAsia" w:ascii="仿宋_GB2312" w:hAnsi="仿宋_GB2312" w:eastAsia="仿宋_GB2312" w:cs="仿宋_GB2312"/>
          <w:color w:val="000000"/>
          <w:spacing w:val="-6"/>
          <w:sz w:val="32"/>
          <w:szCs w:val="32"/>
        </w:rPr>
        <w:t>要求；</w:t>
      </w:r>
      <w:r>
        <w:rPr>
          <w:rFonts w:hint="eastAsia" w:ascii="仿宋_GB2312" w:hAnsi="仿宋_GB2312" w:eastAsia="仿宋_GB2312" w:cs="仿宋_GB2312"/>
          <w:color w:val="000000"/>
          <w:spacing w:val="-6"/>
          <w:sz w:val="32"/>
          <w:szCs w:val="32"/>
          <w:lang w:eastAsia="zh-CN"/>
        </w:rPr>
        <w:t>施工期生活垃圾由环卫部门统一收集处置，建筑垃圾须依法依规进行处置。</w:t>
      </w:r>
    </w:p>
    <w:p w14:paraId="1BAC43C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（二）加强运营期环保设施管理，认真落实各项污染防治措施，确保满足相关要求。</w:t>
      </w:r>
    </w:p>
    <w:p w14:paraId="51A69D7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rPr>
        <w:t>1</w:t>
      </w:r>
      <w:r>
        <w:rPr>
          <w:rFonts w:hint="eastAsia" w:ascii="仿宋_GB2312" w:hAnsi="仿宋_GB2312" w:eastAsia="仿宋_GB2312" w:cs="仿宋_GB2312"/>
          <w:color w:val="000000"/>
          <w:spacing w:val="-6"/>
          <w:sz w:val="32"/>
          <w:szCs w:val="32"/>
          <w:lang w:val="en-US" w:eastAsia="zh-CN"/>
        </w:rPr>
        <w:t>.严格落实大气污染防治措施</w:t>
      </w:r>
    </w:p>
    <w:p w14:paraId="2C850D9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本项目运营期无废气产生及排放。</w:t>
      </w:r>
    </w:p>
    <w:p w14:paraId="1D00A34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lang w:val="en-US" w:eastAsia="zh-CN"/>
        </w:rPr>
      </w:pPr>
      <w:r>
        <w:rPr>
          <w:rFonts w:hint="eastAsia" w:ascii="仿宋_GB2312" w:hAnsi="仿宋_GB2312" w:eastAsia="仿宋_GB2312" w:cs="仿宋_GB2312"/>
          <w:color w:val="000000"/>
          <w:spacing w:val="-6"/>
          <w:sz w:val="32"/>
          <w:szCs w:val="32"/>
          <w:lang w:val="en-US" w:eastAsia="zh-CN"/>
        </w:rPr>
        <w:t>2.严格落实水和土壤污染防治措施</w:t>
      </w:r>
    </w:p>
    <w:p w14:paraId="37D0B82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default" w:ascii="仿宋_GB2312" w:hAnsi="仿宋_GB2312" w:eastAsia="仿宋_GB2312" w:cs="仿宋_GB2312"/>
          <w:color w:val="000000"/>
          <w:spacing w:val="-6"/>
          <w:sz w:val="32"/>
          <w:szCs w:val="32"/>
          <w:lang w:eastAsia="zh-CN"/>
        </w:rPr>
      </w:pPr>
      <w:r>
        <w:rPr>
          <w:rFonts w:hint="eastAsia" w:ascii="仿宋_GB2312" w:hAnsi="仿宋_GB2312" w:eastAsia="仿宋_GB2312" w:cs="仿宋_GB2312"/>
          <w:color w:val="000000"/>
          <w:spacing w:val="-6"/>
          <w:sz w:val="32"/>
          <w:szCs w:val="32"/>
          <w:lang w:val="en-US" w:eastAsia="zh-CN"/>
        </w:rPr>
        <w:t>本项目运营期光伏电池板清洗水全部经光伏板流到地面后自然蒸发损耗。</w:t>
      </w:r>
      <w:bookmarkStart w:id="0" w:name="_GoBack"/>
      <w:bookmarkEnd w:id="0"/>
    </w:p>
    <w:p w14:paraId="0D1C2DE9">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lang w:val="en-US" w:eastAsia="zh-CN"/>
        </w:rPr>
        <w:t>3.</w:t>
      </w:r>
      <w:r>
        <w:rPr>
          <w:rFonts w:hint="eastAsia" w:ascii="仿宋_GB2312" w:hAnsi="仿宋_GB2312" w:eastAsia="仿宋_GB2312" w:cs="仿宋_GB2312"/>
          <w:color w:val="000000"/>
          <w:spacing w:val="-6"/>
          <w:sz w:val="32"/>
          <w:szCs w:val="32"/>
        </w:rPr>
        <w:t>严格落实噪声污染防治措施</w:t>
      </w:r>
    </w:p>
    <w:p w14:paraId="1F9291E0">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16"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sz w:val="32"/>
          <w:szCs w:val="32"/>
          <w:lang w:eastAsia="zh-CN"/>
        </w:rPr>
        <w:t>采取各项降噪措施，严格控制生产过程产生的噪声对周围环境的影响。本项目升压站采用安装基础减振、选用低噪设备、距离衰减等措施；</w:t>
      </w:r>
      <w:r>
        <w:rPr>
          <w:rFonts w:hint="eastAsia" w:ascii="仿宋_GB2312" w:hAnsi="仿宋_GB2312" w:eastAsia="仿宋_GB2312" w:cs="仿宋_GB2312"/>
          <w:color w:val="000000"/>
          <w:spacing w:val="-6"/>
          <w:sz w:val="32"/>
          <w:szCs w:val="32"/>
          <w:lang w:val="en-US" w:eastAsia="zh-CN"/>
        </w:rPr>
        <w:t>光伏区箱式变压器均远离居民区，</w:t>
      </w:r>
      <w:r>
        <w:rPr>
          <w:rFonts w:hint="eastAsia" w:ascii="仿宋_GB2312" w:hAnsi="仿宋_GB2312" w:eastAsia="仿宋_GB2312" w:cs="仿宋_GB2312"/>
          <w:color w:val="000000"/>
          <w:spacing w:val="-6"/>
          <w:sz w:val="32"/>
          <w:szCs w:val="32"/>
          <w:lang w:eastAsia="zh-CN"/>
        </w:rPr>
        <w:t>项目</w:t>
      </w:r>
      <w:r>
        <w:rPr>
          <w:rFonts w:hint="eastAsia" w:ascii="仿宋_GB2312" w:hAnsi="仿宋_GB2312" w:eastAsia="仿宋_GB2312" w:cs="仿宋_GB2312"/>
          <w:spacing w:val="-6"/>
          <w:sz w:val="32"/>
          <w:szCs w:val="32"/>
        </w:rPr>
        <w:t>实施后</w:t>
      </w:r>
      <w:r>
        <w:rPr>
          <w:rFonts w:hint="eastAsia" w:ascii="仿宋_GB2312" w:hAnsi="仿宋_GB2312" w:eastAsia="仿宋_GB2312" w:cs="仿宋_GB2312"/>
          <w:spacing w:val="-6"/>
          <w:sz w:val="32"/>
          <w:szCs w:val="32"/>
          <w:lang w:eastAsia="zh-CN"/>
        </w:rPr>
        <w:t>边界噪声</w:t>
      </w:r>
      <w:r>
        <w:rPr>
          <w:rFonts w:hint="eastAsia" w:ascii="仿宋_GB2312" w:hAnsi="仿宋_GB2312" w:eastAsia="仿宋_GB2312" w:cs="仿宋_GB2312"/>
          <w:spacing w:val="-6"/>
          <w:sz w:val="32"/>
          <w:szCs w:val="32"/>
        </w:rPr>
        <w:t>须满足《工业企业厂界环境噪声排放标准》（GB12348-2008）</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类标准要求</w:t>
      </w:r>
      <w:r>
        <w:rPr>
          <w:rFonts w:hint="eastAsia" w:ascii="仿宋_GB2312" w:hAnsi="仿宋_GB2312" w:eastAsia="仿宋_GB2312" w:cs="仿宋_GB2312"/>
          <w:spacing w:val="-6"/>
          <w:sz w:val="32"/>
          <w:szCs w:val="32"/>
          <w:lang w:eastAsia="zh-CN"/>
        </w:rPr>
        <w:t>，村庄居民点噪声环境须满足《声环境质量标准》（GB3096-2008）1类标准</w:t>
      </w:r>
      <w:r>
        <w:rPr>
          <w:rFonts w:hint="eastAsia" w:ascii="仿宋_GB2312" w:hAnsi="仿宋_GB2312" w:eastAsia="仿宋_GB2312" w:cs="仿宋_GB2312"/>
          <w:spacing w:val="-6"/>
          <w:sz w:val="32"/>
          <w:szCs w:val="32"/>
        </w:rPr>
        <w:t>。</w:t>
      </w:r>
    </w:p>
    <w:p w14:paraId="793E2972">
      <w:pPr>
        <w:keepNext w:val="0"/>
        <w:keepLines w:val="0"/>
        <w:pageBreakBefore w:val="0"/>
        <w:widowControl/>
        <w:kinsoku/>
        <w:wordWrap/>
        <w:overflowPunct/>
        <w:topLinePunct w:val="0"/>
        <w:autoSpaceDE/>
        <w:autoSpaceDN/>
        <w:bidi w:val="0"/>
        <w:adjustRightInd w:val="0"/>
        <w:snapToGrid w:val="0"/>
        <w:spacing w:line="560" w:lineRule="exact"/>
        <w:ind w:left="0" w:right="0" w:firstLine="616" w:firstLineChars="200"/>
        <w:textAlignment w:val="auto"/>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严格落实固体废物污染防治措施</w:t>
      </w:r>
    </w:p>
    <w:p w14:paraId="365C3BC7">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default"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企业要严格落实固体废物分类处置和综合利用措施，认真落实《报告表》规定的固体废物处理、处置措施。按照“资源化、减量化、无害化”的固废处置原则，实现综合利用。项目产生的固体废物主要为废光伏组件、检修废油、废油桶、废变压器油、事故油</w:t>
      </w:r>
      <w:r>
        <w:rPr>
          <w:rFonts w:hint="default" w:ascii="仿宋_GB2312" w:hAnsi="仿宋_GB2312" w:eastAsia="仿宋_GB2312" w:cs="仿宋_GB2312"/>
          <w:color w:val="FF0000"/>
          <w:spacing w:val="-6"/>
          <w:sz w:val="32"/>
          <w:szCs w:val="32"/>
        </w:rPr>
        <w:t>。</w:t>
      </w:r>
    </w:p>
    <w:p w14:paraId="3FC08312">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default"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废光伏组件</w:t>
      </w:r>
      <w:r>
        <w:rPr>
          <w:rFonts w:hint="eastAsia" w:ascii="仿宋_GB2312" w:hAnsi="仿宋_GB2312" w:eastAsia="仿宋_GB2312" w:cs="仿宋_GB2312"/>
          <w:spacing w:val="-6"/>
          <w:sz w:val="32"/>
          <w:szCs w:val="32"/>
        </w:rPr>
        <w:t>收集后由有处理能力的单位处置</w:t>
      </w:r>
      <w:r>
        <w:rPr>
          <w:rFonts w:hint="default" w:ascii="仿宋_GB2312" w:hAnsi="仿宋_GB2312" w:eastAsia="仿宋_GB2312" w:cs="仿宋_GB2312"/>
          <w:spacing w:val="-6"/>
          <w:sz w:val="32"/>
          <w:szCs w:val="32"/>
          <w:lang w:eastAsia="zh-CN"/>
        </w:rPr>
        <w:t>。</w:t>
      </w:r>
    </w:p>
    <w:p w14:paraId="70385303">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color w:val="FF0000"/>
          <w:spacing w:val="-6"/>
          <w:sz w:val="32"/>
          <w:szCs w:val="32"/>
          <w:lang w:eastAsia="zh-CN"/>
        </w:rPr>
      </w:pPr>
      <w:r>
        <w:rPr>
          <w:rFonts w:hint="eastAsia" w:ascii="仿宋_GB2312" w:hAnsi="仿宋_GB2312" w:eastAsia="仿宋_GB2312" w:cs="仿宋_GB2312"/>
          <w:spacing w:val="-6"/>
          <w:sz w:val="32"/>
          <w:szCs w:val="32"/>
          <w:lang w:eastAsia="zh-CN"/>
        </w:rPr>
        <w:t>检修废油、废油桶、废变压器油、事故油</w:t>
      </w:r>
      <w:r>
        <w:rPr>
          <w:rFonts w:hint="default" w:ascii="仿宋_GB2312" w:hAnsi="仿宋_GB2312" w:eastAsia="仿宋_GB2312" w:cs="仿宋_GB2312"/>
          <w:spacing w:val="-6"/>
          <w:sz w:val="32"/>
          <w:szCs w:val="32"/>
          <w:lang w:eastAsia="zh-CN"/>
        </w:rPr>
        <w:t>为危险废物，</w:t>
      </w:r>
      <w:r>
        <w:rPr>
          <w:rFonts w:hint="eastAsia" w:ascii="仿宋_GB2312" w:hAnsi="仿宋_GB2312" w:eastAsia="仿宋_GB2312" w:cs="仿宋_GB2312"/>
          <w:spacing w:val="-6"/>
          <w:sz w:val="32"/>
          <w:szCs w:val="32"/>
          <w:lang w:eastAsia="zh-CN"/>
        </w:rPr>
        <w:t>检修废油、废油桶暂存于危废间，交有资质的单位进行处理；更换的废变压器油不在场区暂存，交有资质的单位进行处理；事故油产生后收集于事故油池，交由有资质单位进行处置。</w:t>
      </w:r>
    </w:p>
    <w:p w14:paraId="3B809F93">
      <w:pPr>
        <w:keepNext w:val="0"/>
        <w:keepLines w:val="0"/>
        <w:pageBreakBefore w:val="0"/>
        <w:widowControl w:val="0"/>
        <w:kinsoku/>
        <w:wordWrap/>
        <w:overflowPunct/>
        <w:topLinePunct w:val="0"/>
        <w:autoSpaceDE/>
        <w:autoSpaceDN/>
        <w:bidi w:val="0"/>
        <w:snapToGrid w:val="0"/>
        <w:spacing w:line="560" w:lineRule="exact"/>
        <w:ind w:right="0"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项目产生的危险废物及危险废物暂存库须满足《危险废物贮存污染控制标准》(GB18597-20</w:t>
      </w:r>
      <w:r>
        <w:rPr>
          <w:rFonts w:hint="default" w:ascii="仿宋_GB2312" w:hAnsi="仿宋_GB2312" w:eastAsia="仿宋_GB2312" w:cs="仿宋_GB2312"/>
          <w:color w:val="auto"/>
          <w:spacing w:val="-6"/>
          <w:sz w:val="32"/>
          <w:szCs w:val="32"/>
        </w:rPr>
        <w:t>23</w:t>
      </w:r>
      <w:r>
        <w:rPr>
          <w:rFonts w:hint="eastAsia" w:ascii="仿宋_GB2312" w:hAnsi="仿宋_GB2312" w:eastAsia="仿宋_GB2312" w:cs="仿宋_GB2312"/>
          <w:color w:val="auto"/>
          <w:spacing w:val="-6"/>
          <w:sz w:val="32"/>
          <w:szCs w:val="32"/>
        </w:rPr>
        <w:t>)要求。</w:t>
      </w:r>
    </w:p>
    <w:p w14:paraId="2FF21D25">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default" w:ascii="仿宋_GB2312" w:hAnsi="仿宋_GB2312" w:eastAsia="仿宋_GB2312" w:cs="仿宋_GB2312"/>
          <w:spacing w:val="-6"/>
          <w:sz w:val="32"/>
          <w:szCs w:val="32"/>
          <w:lang w:eastAsia="zh-CN"/>
        </w:rPr>
        <w:t>5</w:t>
      </w:r>
      <w:r>
        <w:rPr>
          <w:rFonts w:hint="eastAsia" w:ascii="仿宋_GB2312" w:hAnsi="仿宋_GB2312" w:eastAsia="仿宋_GB2312" w:cs="仿宋_GB2312"/>
          <w:spacing w:val="-6"/>
          <w:sz w:val="32"/>
          <w:szCs w:val="32"/>
          <w:lang w:val="en-US" w:eastAsia="zh-CN"/>
        </w:rPr>
        <w:t>.本次评价内容和批复不包括辐射部分及场外出线线路。</w:t>
      </w:r>
    </w:p>
    <w:p w14:paraId="2C6E272A">
      <w:pPr>
        <w:keepNext w:val="0"/>
        <w:keepLines w:val="0"/>
        <w:pageBreakBefore w:val="0"/>
        <w:widowControl/>
        <w:kinsoku/>
        <w:wordWrap/>
        <w:overflowPunct/>
        <w:topLinePunct w:val="0"/>
        <w:autoSpaceDE/>
        <w:autoSpaceDN/>
        <w:bidi w:val="0"/>
        <w:adjustRightInd w:val="0"/>
        <w:snapToGrid w:val="0"/>
        <w:spacing w:line="560" w:lineRule="exact"/>
        <w:ind w:firstLine="616" w:firstLineChars="200"/>
        <w:textAlignment w:val="auto"/>
        <w:rPr>
          <w:rFonts w:hint="eastAsia" w:ascii="仿宋_GB2312" w:hAnsi="仿宋_GB2312" w:eastAsia="仿宋_GB2312" w:cs="仿宋_GB2312"/>
          <w:spacing w:val="-6"/>
          <w:sz w:val="32"/>
          <w:szCs w:val="32"/>
        </w:rPr>
      </w:pPr>
      <w:r>
        <w:rPr>
          <w:rFonts w:hint="default" w:ascii="仿宋_GB2312" w:hAnsi="仿宋_GB2312" w:eastAsia="仿宋_GB2312" w:cs="仿宋_GB2312"/>
          <w:spacing w:val="-6"/>
          <w:sz w:val="32"/>
          <w:szCs w:val="32"/>
          <w:lang w:eastAsia="zh-CN"/>
        </w:rPr>
        <w:t>6</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认真落实《报告表》其他环境管理要求。</w:t>
      </w:r>
    </w:p>
    <w:p w14:paraId="4D0ABC36">
      <w:pPr>
        <w:keepNext w:val="0"/>
        <w:keepLines w:val="0"/>
        <w:pageBreakBefore w:val="0"/>
        <w:widowControl/>
        <w:kinsoku/>
        <w:wordWrap/>
        <w:overflowPunct/>
        <w:topLinePunct w:val="0"/>
        <w:autoSpaceDE/>
        <w:autoSpaceDN/>
        <w:bidi w:val="0"/>
        <w:adjustRightInd w:val="0"/>
        <w:snapToGrid w:val="0"/>
        <w:spacing w:line="560" w:lineRule="exact"/>
        <w:ind w:left="0"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三、</w:t>
      </w:r>
      <w:r>
        <w:rPr>
          <w:rFonts w:hint="eastAsia" w:ascii="仿宋_GB2312" w:hAnsi="仿宋_GB2312" w:eastAsia="仿宋_GB2312" w:cs="仿宋_GB2312"/>
          <w:spacing w:val="-6"/>
          <w:sz w:val="32"/>
          <w:szCs w:val="32"/>
        </w:rPr>
        <w:t>强化环境风险防范和应急措施。制订完善的环境管理、风险管理措施，设施配备齐全，加强相关人员培训</w:t>
      </w:r>
      <w:r>
        <w:rPr>
          <w:rFonts w:hint="eastAsia" w:ascii="仿宋_GB2312" w:hAnsi="仿宋_GB2312" w:eastAsia="仿宋_GB2312" w:cs="仿宋_GB2312"/>
          <w:color w:val="000000"/>
          <w:kern w:val="0"/>
          <w:sz w:val="32"/>
          <w:szCs w:val="32"/>
        </w:rPr>
        <w:t>。加强风险源管控，严格落实《报告表》中环境风险防范措施，</w:t>
      </w:r>
      <w:r>
        <w:rPr>
          <w:rFonts w:hint="default" w:ascii="仿宋_GB2312" w:hAnsi="仿宋_GB2312" w:eastAsia="仿宋_GB2312" w:cs="仿宋_GB2312"/>
          <w:color w:val="000000"/>
          <w:kern w:val="0"/>
          <w:sz w:val="32"/>
          <w:szCs w:val="32"/>
        </w:rPr>
        <w:t>办理</w:t>
      </w:r>
      <w:r>
        <w:rPr>
          <w:rFonts w:hint="eastAsia" w:ascii="仿宋_GB2312" w:hAnsi="仿宋_GB2312" w:eastAsia="仿宋_GB2312" w:cs="仿宋_GB2312"/>
          <w:color w:val="000000"/>
          <w:kern w:val="0"/>
          <w:sz w:val="32"/>
          <w:szCs w:val="32"/>
        </w:rPr>
        <w:t>突发环境事件应急</w:t>
      </w:r>
      <w:r>
        <w:rPr>
          <w:rFonts w:hint="default" w:ascii="仿宋_GB2312" w:hAnsi="仿宋_GB2312" w:eastAsia="仿宋_GB2312" w:cs="仿宋_GB2312"/>
          <w:color w:val="000000"/>
          <w:kern w:val="0"/>
          <w:sz w:val="32"/>
          <w:szCs w:val="32"/>
        </w:rPr>
        <w:t>相关手续</w:t>
      </w:r>
      <w:r>
        <w:rPr>
          <w:rFonts w:hint="eastAsia" w:ascii="仿宋_GB2312" w:hAnsi="仿宋_GB2312" w:eastAsia="仿宋_GB2312" w:cs="仿宋_GB2312"/>
          <w:color w:val="000000"/>
          <w:kern w:val="0"/>
          <w:sz w:val="32"/>
          <w:szCs w:val="32"/>
        </w:rPr>
        <w:t>，并与当地政府及相关部门做好衔接，定期进行应急培训和</w:t>
      </w:r>
      <w:r>
        <w:rPr>
          <w:rFonts w:hint="eastAsia" w:ascii="仿宋_GB2312" w:hAnsi="仿宋_GB2312" w:eastAsia="仿宋_GB2312" w:cs="仿宋_GB2312"/>
          <w:spacing w:val="-6"/>
          <w:sz w:val="32"/>
          <w:szCs w:val="32"/>
        </w:rPr>
        <w:t>演练，有效防范和应对环境风险。</w:t>
      </w:r>
    </w:p>
    <w:p w14:paraId="71F3A4DF">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认真落实《报告表》中规定的污染防治措施及清洁生产措施</w:t>
      </w:r>
      <w:r>
        <w:rPr>
          <w:rFonts w:hint="eastAsia" w:ascii="仿宋_GB2312" w:hAnsi="仿宋_GB2312" w:eastAsia="仿宋_GB2312" w:cs="仿宋_GB2312"/>
          <w:color w:val="000000"/>
          <w:kern w:val="0"/>
          <w:sz w:val="32"/>
          <w:szCs w:val="32"/>
          <w:lang w:eastAsia="zh-CN"/>
        </w:rPr>
        <w:t>，并完善排污许可的衔接工作</w:t>
      </w:r>
      <w:r>
        <w:rPr>
          <w:rFonts w:hint="eastAsia" w:ascii="仿宋_GB2312" w:hAnsi="仿宋_GB2312" w:eastAsia="仿宋_GB2312" w:cs="仿宋_GB2312"/>
          <w:color w:val="000000"/>
          <w:kern w:val="0"/>
          <w:sz w:val="32"/>
          <w:szCs w:val="32"/>
        </w:rPr>
        <w:t xml:space="preserve">。 </w:t>
      </w:r>
    </w:p>
    <w:p w14:paraId="798EF0A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kern w:val="0"/>
          <w:sz w:val="32"/>
          <w:szCs w:val="32"/>
        </w:rPr>
        <w:t>五、</w:t>
      </w:r>
      <w:r>
        <w:rPr>
          <w:rFonts w:hint="eastAsia" w:ascii="仿宋_GB2312" w:hAnsi="仿宋_GB2312" w:eastAsia="仿宋_GB2312" w:cs="仿宋_GB2312"/>
          <w:spacing w:val="-6"/>
          <w:sz w:val="32"/>
          <w:szCs w:val="32"/>
        </w:rPr>
        <w:t>在项目运营过程中，应建立畅通的公众参与平台，及时解决公众关注的环境问题，满足公众合理的环境诉求。定期发布企业环境信息，主动接受社会监督。</w:t>
      </w:r>
    </w:p>
    <w:p w14:paraId="6123C61E">
      <w:pPr>
        <w:keepNext w:val="0"/>
        <w:keepLines w:val="0"/>
        <w:pageBreakBefore w:val="0"/>
        <w:widowControl/>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六、本项目建设必须严格执行配套建设的环境保护设施与主体工程同时设计、同时施工、同时投产使用的环境保护“三同时”制度。项目竣工后，按规定开展竣工环境保护验收。验收合格后，项目方可正式投入生产，</w:t>
      </w:r>
      <w:r>
        <w:rPr>
          <w:rFonts w:hint="eastAsia" w:ascii="仿宋_GB2312" w:hAnsi="仿宋_GB2312" w:eastAsia="仿宋_GB2312" w:cs="仿宋_GB2312"/>
          <w:sz w:val="32"/>
          <w:szCs w:val="32"/>
        </w:rPr>
        <w:t>未经验收或者验收不合格的，不得投入生产或者使用</w:t>
      </w:r>
      <w:r>
        <w:rPr>
          <w:rFonts w:hint="eastAsia" w:ascii="仿宋_GB2312" w:hAnsi="仿宋_GB2312" w:eastAsia="仿宋_GB2312" w:cs="仿宋_GB2312"/>
          <w:spacing w:val="-6"/>
          <w:sz w:val="32"/>
          <w:szCs w:val="32"/>
        </w:rPr>
        <w:t>。本项目环境影响评价文件经批准后，如设计和施工变化造成工程性质、规模、工艺、防治污染的措施发生重大变动的，应当在调整前重新报批本项目环境影响评价文件。</w:t>
      </w:r>
      <w:r>
        <w:rPr>
          <w:rFonts w:hint="eastAsia" w:ascii="仿宋_GB2312" w:hAnsi="仿宋_GB2312" w:eastAsia="仿宋_GB2312" w:cs="仿宋_GB2312"/>
          <w:sz w:val="32"/>
          <w:szCs w:val="32"/>
        </w:rPr>
        <w:t>工程自批复之日起五年后方决定开工建设的，需将环评文件报我局重新审核。</w:t>
      </w:r>
    </w:p>
    <w:p w14:paraId="36839DE2">
      <w:pPr>
        <w:keepNext w:val="0"/>
        <w:keepLines w:val="0"/>
        <w:pageBreakBefore w:val="0"/>
        <w:widowControl/>
        <w:kinsoku/>
        <w:wordWrap/>
        <w:overflowPunct/>
        <w:topLinePunct w:val="0"/>
        <w:autoSpaceDE/>
        <w:autoSpaceDN/>
        <w:bidi w:val="0"/>
        <w:adjustRightInd w:val="0"/>
        <w:snapToGrid w:val="0"/>
        <w:spacing w:line="560" w:lineRule="exact"/>
        <w:ind w:right="0" w:firstLine="616" w:firstLineChars="200"/>
        <w:textAlignment w:val="auto"/>
        <w:rPr>
          <w:rFonts w:hint="eastAsia" w:ascii="仿宋_GB2312" w:hAnsi="仿宋_GB2312" w:eastAsia="仿宋_GB2312" w:cs="仿宋_GB2312"/>
          <w:spacing w:val="-6"/>
          <w:sz w:val="32"/>
          <w:szCs w:val="32"/>
        </w:rPr>
      </w:pPr>
      <w:r>
        <w:rPr>
          <w:rFonts w:hint="default" w:ascii="仿宋_GB2312" w:hAnsi="仿宋_GB2312" w:eastAsia="仿宋_GB2312" w:cs="仿宋_GB2312"/>
          <w:spacing w:val="-6"/>
          <w:sz w:val="32"/>
          <w:szCs w:val="32"/>
          <w:lang w:eastAsia="zh-CN"/>
        </w:rPr>
        <w:t>七</w:t>
      </w:r>
      <w:r>
        <w:rPr>
          <w:rFonts w:hint="eastAsia" w:ascii="仿宋_GB2312" w:hAnsi="仿宋_GB2312" w:eastAsia="仿宋_GB2312" w:cs="仿宋_GB2312"/>
          <w:spacing w:val="-6"/>
          <w:sz w:val="32"/>
          <w:szCs w:val="32"/>
        </w:rPr>
        <w:t>、你单位在接到本批复后的10个工作日内，须将环评报告表及其批复送秦皇岛市生态环境局</w:t>
      </w:r>
      <w:r>
        <w:rPr>
          <w:rFonts w:hint="eastAsia" w:ascii="仿宋_GB2312" w:hAnsi="仿宋_GB2312" w:eastAsia="仿宋_GB2312" w:cs="仿宋_GB2312"/>
          <w:spacing w:val="-6"/>
          <w:sz w:val="32"/>
          <w:szCs w:val="32"/>
          <w:lang w:eastAsia="zh-CN"/>
        </w:rPr>
        <w:t>青龙满族自治县分局</w:t>
      </w:r>
      <w:r>
        <w:rPr>
          <w:rFonts w:hint="eastAsia" w:ascii="仿宋_GB2312" w:hAnsi="仿宋_GB2312" w:eastAsia="仿宋_GB2312" w:cs="仿宋_GB2312"/>
          <w:spacing w:val="-6"/>
          <w:sz w:val="32"/>
          <w:szCs w:val="32"/>
        </w:rPr>
        <w:t>等相关部门，日常监督管理由秦皇岛市生态环境局</w:t>
      </w:r>
      <w:r>
        <w:rPr>
          <w:rFonts w:hint="eastAsia" w:ascii="仿宋_GB2312" w:hAnsi="仿宋_GB2312" w:eastAsia="仿宋_GB2312" w:cs="仿宋_GB2312"/>
          <w:spacing w:val="-6"/>
          <w:sz w:val="32"/>
          <w:szCs w:val="32"/>
          <w:lang w:eastAsia="zh-CN"/>
        </w:rPr>
        <w:t>青龙满族自治县分局</w:t>
      </w:r>
      <w:r>
        <w:rPr>
          <w:rFonts w:hint="eastAsia" w:ascii="仿宋_GB2312" w:hAnsi="仿宋_GB2312" w:eastAsia="仿宋_GB2312" w:cs="仿宋_GB2312"/>
          <w:spacing w:val="-6"/>
          <w:sz w:val="32"/>
          <w:szCs w:val="32"/>
        </w:rPr>
        <w:t>负责。建设单位须定期向秦皇岛市生态环境局</w:t>
      </w:r>
      <w:r>
        <w:rPr>
          <w:rFonts w:hint="eastAsia" w:ascii="仿宋_GB2312" w:hAnsi="仿宋_GB2312" w:eastAsia="仿宋_GB2312" w:cs="仿宋_GB2312"/>
          <w:spacing w:val="-6"/>
          <w:sz w:val="32"/>
          <w:szCs w:val="32"/>
          <w:lang w:eastAsia="zh-CN"/>
        </w:rPr>
        <w:t>青龙满族自治县分局</w:t>
      </w:r>
      <w:r>
        <w:rPr>
          <w:rFonts w:hint="eastAsia" w:ascii="仿宋_GB2312" w:hAnsi="仿宋_GB2312" w:eastAsia="仿宋_GB2312" w:cs="仿宋_GB2312"/>
          <w:spacing w:val="-6"/>
          <w:sz w:val="32"/>
          <w:szCs w:val="32"/>
        </w:rPr>
        <w:t xml:space="preserve">报告“三同时”完成情况。并按规定接受各级生态环境行政主管部门的日常监督检查。 </w:t>
      </w:r>
    </w:p>
    <w:p w14:paraId="54139593">
      <w:pPr>
        <w:pStyle w:val="7"/>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14:paraId="3DE26147">
      <w:pPr>
        <w:pStyle w:val="14"/>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14:paraId="495EC81D">
      <w:pPr>
        <w:pStyle w:val="7"/>
        <w:keepNext w:val="0"/>
        <w:keepLines w:val="0"/>
        <w:pageBreakBefore w:val="0"/>
        <w:widowControl/>
        <w:kinsoku/>
        <w:wordWrap/>
        <w:overflowPunct/>
        <w:topLinePunct w:val="0"/>
        <w:autoSpaceDE/>
        <w:autoSpaceDN/>
        <w:bidi w:val="0"/>
        <w:adjustRightInd w:val="0"/>
        <w:snapToGrid w:val="0"/>
        <w:spacing w:line="560" w:lineRule="exact"/>
        <w:ind w:firstLine="4800" w:firstLineChars="15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秦皇岛市行政审批局</w:t>
      </w:r>
    </w:p>
    <w:p w14:paraId="42C91FC4">
      <w:pPr>
        <w:pStyle w:val="7"/>
        <w:keepNext w:val="0"/>
        <w:keepLines w:val="0"/>
        <w:pageBreakBefore w:val="0"/>
        <w:widowControl/>
        <w:kinsoku/>
        <w:wordWrap/>
        <w:overflowPunct/>
        <w:topLinePunct w:val="0"/>
        <w:autoSpaceDE/>
        <w:autoSpaceDN/>
        <w:bidi w:val="0"/>
        <w:adjustRightInd w:val="0"/>
        <w:snapToGrid w:val="0"/>
        <w:spacing w:line="560" w:lineRule="exact"/>
        <w:ind w:firstLine="5120" w:firstLineChars="1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default" w:ascii="仿宋_GB2312" w:hAnsi="仿宋_GB2312" w:eastAsia="仿宋_GB2312" w:cs="仿宋_GB2312"/>
          <w:color w:val="auto"/>
          <w:sz w:val="32"/>
          <w:szCs w:val="32"/>
          <w:lang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w:t>
      </w:r>
    </w:p>
    <w:p w14:paraId="7E794215">
      <w:pPr>
        <w:pStyle w:val="7"/>
        <w:keepNext w:val="0"/>
        <w:keepLines w:val="0"/>
        <w:pageBreakBefore w:val="0"/>
        <w:kinsoku/>
        <w:wordWrap/>
        <w:overflowPunct/>
        <w:topLinePunct w:val="0"/>
        <w:autoSpaceDE/>
        <w:autoSpaceDN/>
        <w:bidi w:val="0"/>
        <w:snapToGrid w:val="0"/>
        <w:spacing w:line="560" w:lineRule="exact"/>
        <w:textAlignment w:val="auto"/>
        <w:rPr>
          <w:rFonts w:hint="eastAsia"/>
        </w:rPr>
      </w:pP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14E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1D6F1">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81D6F1">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mQwOTA5MjNiMmY2NmFkOWRlNzVkYWJkNmRmOTEifQ=="/>
  </w:docVars>
  <w:rsids>
    <w:rsidRoot w:val="00534647"/>
    <w:rsid w:val="001D5FB4"/>
    <w:rsid w:val="00534647"/>
    <w:rsid w:val="007E0A00"/>
    <w:rsid w:val="00FF0D8C"/>
    <w:rsid w:val="01C57888"/>
    <w:rsid w:val="02210711"/>
    <w:rsid w:val="026C13BF"/>
    <w:rsid w:val="047D0429"/>
    <w:rsid w:val="0480239D"/>
    <w:rsid w:val="049F51EA"/>
    <w:rsid w:val="05070CB7"/>
    <w:rsid w:val="05F4418C"/>
    <w:rsid w:val="06D73640"/>
    <w:rsid w:val="06FD7EA5"/>
    <w:rsid w:val="08251D3B"/>
    <w:rsid w:val="086152EC"/>
    <w:rsid w:val="09A74B9B"/>
    <w:rsid w:val="09DD006C"/>
    <w:rsid w:val="09EA14FD"/>
    <w:rsid w:val="0A7C0FBB"/>
    <w:rsid w:val="0BB50AF3"/>
    <w:rsid w:val="0C240EFB"/>
    <w:rsid w:val="0DB60FD4"/>
    <w:rsid w:val="0E23319F"/>
    <w:rsid w:val="0E236322"/>
    <w:rsid w:val="0E423DBB"/>
    <w:rsid w:val="0E52277A"/>
    <w:rsid w:val="0E544884"/>
    <w:rsid w:val="0E9A6529"/>
    <w:rsid w:val="0EF16B1E"/>
    <w:rsid w:val="0F243ABA"/>
    <w:rsid w:val="0F4E7F38"/>
    <w:rsid w:val="0FD75461"/>
    <w:rsid w:val="106B3C9B"/>
    <w:rsid w:val="11047D69"/>
    <w:rsid w:val="116A6B7F"/>
    <w:rsid w:val="11B64EE8"/>
    <w:rsid w:val="11DF3773"/>
    <w:rsid w:val="12704D3D"/>
    <w:rsid w:val="12B56FA8"/>
    <w:rsid w:val="134F78C3"/>
    <w:rsid w:val="15DB1E4F"/>
    <w:rsid w:val="16B259FD"/>
    <w:rsid w:val="16FE7E29"/>
    <w:rsid w:val="177C13BA"/>
    <w:rsid w:val="17B00A83"/>
    <w:rsid w:val="18EDE22F"/>
    <w:rsid w:val="19807918"/>
    <w:rsid w:val="19C76AA2"/>
    <w:rsid w:val="19F20F5A"/>
    <w:rsid w:val="1A34036B"/>
    <w:rsid w:val="1ABB2361"/>
    <w:rsid w:val="1BE5119A"/>
    <w:rsid w:val="1C25666F"/>
    <w:rsid w:val="1C596756"/>
    <w:rsid w:val="1CFA41E4"/>
    <w:rsid w:val="1DB05E93"/>
    <w:rsid w:val="1DE2526D"/>
    <w:rsid w:val="1E0457D8"/>
    <w:rsid w:val="1E293B80"/>
    <w:rsid w:val="1EE917E9"/>
    <w:rsid w:val="1F9A3113"/>
    <w:rsid w:val="1F9E66CC"/>
    <w:rsid w:val="1FB32933"/>
    <w:rsid w:val="1FFD7A61"/>
    <w:rsid w:val="20C7671F"/>
    <w:rsid w:val="211E5769"/>
    <w:rsid w:val="212033CF"/>
    <w:rsid w:val="213E1E2E"/>
    <w:rsid w:val="21487774"/>
    <w:rsid w:val="220B1CB9"/>
    <w:rsid w:val="22186EB3"/>
    <w:rsid w:val="22712A2C"/>
    <w:rsid w:val="22E21C51"/>
    <w:rsid w:val="23165497"/>
    <w:rsid w:val="23637A73"/>
    <w:rsid w:val="23E0603F"/>
    <w:rsid w:val="24333E8B"/>
    <w:rsid w:val="24496731"/>
    <w:rsid w:val="24822F7E"/>
    <w:rsid w:val="249C52E5"/>
    <w:rsid w:val="24E07A09"/>
    <w:rsid w:val="253245CF"/>
    <w:rsid w:val="25481967"/>
    <w:rsid w:val="25913DA1"/>
    <w:rsid w:val="26372BA9"/>
    <w:rsid w:val="26452102"/>
    <w:rsid w:val="268C5900"/>
    <w:rsid w:val="26D3084E"/>
    <w:rsid w:val="26D853C8"/>
    <w:rsid w:val="2768760E"/>
    <w:rsid w:val="278D5603"/>
    <w:rsid w:val="28423EC0"/>
    <w:rsid w:val="290C1FD9"/>
    <w:rsid w:val="2A6A527B"/>
    <w:rsid w:val="2A6E5785"/>
    <w:rsid w:val="2B35714B"/>
    <w:rsid w:val="2B651583"/>
    <w:rsid w:val="2B8255E2"/>
    <w:rsid w:val="2BA73E61"/>
    <w:rsid w:val="2C4F4AAD"/>
    <w:rsid w:val="2C9A2F9D"/>
    <w:rsid w:val="2CDB74AF"/>
    <w:rsid w:val="2CEC5C32"/>
    <w:rsid w:val="2CED5224"/>
    <w:rsid w:val="2DAE127D"/>
    <w:rsid w:val="2DAF126F"/>
    <w:rsid w:val="2DFDCAF6"/>
    <w:rsid w:val="2E290EE4"/>
    <w:rsid w:val="2E7C66DE"/>
    <w:rsid w:val="31061FC9"/>
    <w:rsid w:val="313D44EF"/>
    <w:rsid w:val="317A4765"/>
    <w:rsid w:val="31A86955"/>
    <w:rsid w:val="31AF3D3F"/>
    <w:rsid w:val="328D0DB0"/>
    <w:rsid w:val="33135D31"/>
    <w:rsid w:val="335C6818"/>
    <w:rsid w:val="336EA4DC"/>
    <w:rsid w:val="33824DF5"/>
    <w:rsid w:val="34185F28"/>
    <w:rsid w:val="344158C2"/>
    <w:rsid w:val="347C50C9"/>
    <w:rsid w:val="35D70A87"/>
    <w:rsid w:val="374D153F"/>
    <w:rsid w:val="38DC0821"/>
    <w:rsid w:val="38ED4A8D"/>
    <w:rsid w:val="39D74A49"/>
    <w:rsid w:val="3A0831CA"/>
    <w:rsid w:val="3A5A3B4E"/>
    <w:rsid w:val="3A776BF6"/>
    <w:rsid w:val="3B9B5529"/>
    <w:rsid w:val="3BF2360E"/>
    <w:rsid w:val="3BFF7C85"/>
    <w:rsid w:val="3C100C19"/>
    <w:rsid w:val="3C37264C"/>
    <w:rsid w:val="3C624B38"/>
    <w:rsid w:val="3C8DE232"/>
    <w:rsid w:val="3CBD30B1"/>
    <w:rsid w:val="3CD04F1E"/>
    <w:rsid w:val="3D412847"/>
    <w:rsid w:val="3D4E0F7F"/>
    <w:rsid w:val="3D620756"/>
    <w:rsid w:val="3D715C36"/>
    <w:rsid w:val="3DEB59B9"/>
    <w:rsid w:val="3EDA434E"/>
    <w:rsid w:val="3F43263A"/>
    <w:rsid w:val="3F7FC6D0"/>
    <w:rsid w:val="402537B3"/>
    <w:rsid w:val="40E5668D"/>
    <w:rsid w:val="413B7A6D"/>
    <w:rsid w:val="414D77A0"/>
    <w:rsid w:val="415E6EB8"/>
    <w:rsid w:val="433C187A"/>
    <w:rsid w:val="441F65D2"/>
    <w:rsid w:val="45ED32A4"/>
    <w:rsid w:val="462F55E2"/>
    <w:rsid w:val="46F770C6"/>
    <w:rsid w:val="47887BA9"/>
    <w:rsid w:val="47AC3472"/>
    <w:rsid w:val="47CE63AB"/>
    <w:rsid w:val="48750F2D"/>
    <w:rsid w:val="48A305D9"/>
    <w:rsid w:val="495443BF"/>
    <w:rsid w:val="4961192A"/>
    <w:rsid w:val="49FBE6D1"/>
    <w:rsid w:val="4A9B0782"/>
    <w:rsid w:val="4AB62107"/>
    <w:rsid w:val="4B4355E5"/>
    <w:rsid w:val="4B514EDA"/>
    <w:rsid w:val="4B765E80"/>
    <w:rsid w:val="4C767AF2"/>
    <w:rsid w:val="4C8229F4"/>
    <w:rsid w:val="4D010EEB"/>
    <w:rsid w:val="4D9C5D37"/>
    <w:rsid w:val="4E09095C"/>
    <w:rsid w:val="4E1B2C42"/>
    <w:rsid w:val="4F4A365C"/>
    <w:rsid w:val="4F5925A3"/>
    <w:rsid w:val="4FC43655"/>
    <w:rsid w:val="4FD729F9"/>
    <w:rsid w:val="50F74CAC"/>
    <w:rsid w:val="51F46A5E"/>
    <w:rsid w:val="52500E9E"/>
    <w:rsid w:val="526B33B4"/>
    <w:rsid w:val="52E60454"/>
    <w:rsid w:val="52F277D3"/>
    <w:rsid w:val="53183CF5"/>
    <w:rsid w:val="53650405"/>
    <w:rsid w:val="53AF2EA6"/>
    <w:rsid w:val="53CE4449"/>
    <w:rsid w:val="55111814"/>
    <w:rsid w:val="559B2D78"/>
    <w:rsid w:val="55C8399D"/>
    <w:rsid w:val="55D31502"/>
    <w:rsid w:val="5612099E"/>
    <w:rsid w:val="56950707"/>
    <w:rsid w:val="56AED9A3"/>
    <w:rsid w:val="57DA211C"/>
    <w:rsid w:val="57DFD03B"/>
    <w:rsid w:val="58040325"/>
    <w:rsid w:val="5883776F"/>
    <w:rsid w:val="5886351F"/>
    <w:rsid w:val="58DC437F"/>
    <w:rsid w:val="590E0E11"/>
    <w:rsid w:val="59273AEF"/>
    <w:rsid w:val="596D0588"/>
    <w:rsid w:val="59B7197C"/>
    <w:rsid w:val="5A22466C"/>
    <w:rsid w:val="5A2F46B5"/>
    <w:rsid w:val="5A726CD4"/>
    <w:rsid w:val="5A9C6788"/>
    <w:rsid w:val="5AE9060E"/>
    <w:rsid w:val="5B314F17"/>
    <w:rsid w:val="5BFA3674"/>
    <w:rsid w:val="5BFDE05C"/>
    <w:rsid w:val="5C0156FC"/>
    <w:rsid w:val="5C8F0F84"/>
    <w:rsid w:val="5CB5141E"/>
    <w:rsid w:val="5DD15318"/>
    <w:rsid w:val="5EBB44B3"/>
    <w:rsid w:val="5EE4D61D"/>
    <w:rsid w:val="5F5FC2DB"/>
    <w:rsid w:val="5F877DE6"/>
    <w:rsid w:val="5FA728A7"/>
    <w:rsid w:val="5FE9456F"/>
    <w:rsid w:val="60200102"/>
    <w:rsid w:val="60DB398B"/>
    <w:rsid w:val="6155202D"/>
    <w:rsid w:val="616B4469"/>
    <w:rsid w:val="62242690"/>
    <w:rsid w:val="623213C3"/>
    <w:rsid w:val="62595DE7"/>
    <w:rsid w:val="62AA67D1"/>
    <w:rsid w:val="62B4457F"/>
    <w:rsid w:val="62F12229"/>
    <w:rsid w:val="63FC4707"/>
    <w:rsid w:val="65A5045A"/>
    <w:rsid w:val="66892A14"/>
    <w:rsid w:val="66A76F78"/>
    <w:rsid w:val="66FF055D"/>
    <w:rsid w:val="67112E9A"/>
    <w:rsid w:val="677FA05D"/>
    <w:rsid w:val="67D84A3A"/>
    <w:rsid w:val="67FE8511"/>
    <w:rsid w:val="687D0E8F"/>
    <w:rsid w:val="69513F33"/>
    <w:rsid w:val="695609FE"/>
    <w:rsid w:val="6A0018D3"/>
    <w:rsid w:val="6A3A1E22"/>
    <w:rsid w:val="6AFBE2FD"/>
    <w:rsid w:val="6B1336CA"/>
    <w:rsid w:val="6BF6F70B"/>
    <w:rsid w:val="6C4F3886"/>
    <w:rsid w:val="6C57E606"/>
    <w:rsid w:val="6D953FD0"/>
    <w:rsid w:val="6DBD50C2"/>
    <w:rsid w:val="6DEFBE8D"/>
    <w:rsid w:val="6E516CE2"/>
    <w:rsid w:val="6E972B5D"/>
    <w:rsid w:val="6FA92E43"/>
    <w:rsid w:val="6FDFB749"/>
    <w:rsid w:val="6FFA6EFF"/>
    <w:rsid w:val="6FFF02D3"/>
    <w:rsid w:val="6FFF1971"/>
    <w:rsid w:val="6FFF7A25"/>
    <w:rsid w:val="6FFFD07D"/>
    <w:rsid w:val="701336AB"/>
    <w:rsid w:val="730F4AE2"/>
    <w:rsid w:val="73426669"/>
    <w:rsid w:val="736875DA"/>
    <w:rsid w:val="736E6677"/>
    <w:rsid w:val="738B4EA6"/>
    <w:rsid w:val="73F5133C"/>
    <w:rsid w:val="74AD223F"/>
    <w:rsid w:val="767F4FE6"/>
    <w:rsid w:val="76C21ABB"/>
    <w:rsid w:val="76C4DCB4"/>
    <w:rsid w:val="76E75AA9"/>
    <w:rsid w:val="77763D74"/>
    <w:rsid w:val="779E4CF7"/>
    <w:rsid w:val="77BE192B"/>
    <w:rsid w:val="77FEA771"/>
    <w:rsid w:val="77FF68A8"/>
    <w:rsid w:val="77FFCAF9"/>
    <w:rsid w:val="78D120BF"/>
    <w:rsid w:val="793F363C"/>
    <w:rsid w:val="79FE1F3B"/>
    <w:rsid w:val="7A4C55E3"/>
    <w:rsid w:val="7A53410C"/>
    <w:rsid w:val="7A577472"/>
    <w:rsid w:val="7A9279F6"/>
    <w:rsid w:val="7ADD4C29"/>
    <w:rsid w:val="7AFE2822"/>
    <w:rsid w:val="7AFF2B17"/>
    <w:rsid w:val="7B7C2B32"/>
    <w:rsid w:val="7BAF5786"/>
    <w:rsid w:val="7BEE3D32"/>
    <w:rsid w:val="7CA76A30"/>
    <w:rsid w:val="7CBF2C38"/>
    <w:rsid w:val="7CC318D0"/>
    <w:rsid w:val="7D5F4119"/>
    <w:rsid w:val="7D8459A1"/>
    <w:rsid w:val="7DB75DE9"/>
    <w:rsid w:val="7DDF0D63"/>
    <w:rsid w:val="7E3C65F7"/>
    <w:rsid w:val="7E53808C"/>
    <w:rsid w:val="7E873A5B"/>
    <w:rsid w:val="7EA7853F"/>
    <w:rsid w:val="7EDB1951"/>
    <w:rsid w:val="7EE9F22B"/>
    <w:rsid w:val="7EFF68B1"/>
    <w:rsid w:val="7F24010D"/>
    <w:rsid w:val="7F294417"/>
    <w:rsid w:val="7F3D240F"/>
    <w:rsid w:val="7F7E550E"/>
    <w:rsid w:val="7FB1C417"/>
    <w:rsid w:val="7FB33497"/>
    <w:rsid w:val="7FBB3D0C"/>
    <w:rsid w:val="7FE51C3E"/>
    <w:rsid w:val="7FF7817D"/>
    <w:rsid w:val="7FFD5D18"/>
    <w:rsid w:val="7FFD93AA"/>
    <w:rsid w:val="7FFE63C7"/>
    <w:rsid w:val="7FFEA5A9"/>
    <w:rsid w:val="93DE4D53"/>
    <w:rsid w:val="97EF0570"/>
    <w:rsid w:val="9EBE6894"/>
    <w:rsid w:val="A6F514A9"/>
    <w:rsid w:val="A7FE46DD"/>
    <w:rsid w:val="AB574649"/>
    <w:rsid w:val="B1BFA1F6"/>
    <w:rsid w:val="B2FF2882"/>
    <w:rsid w:val="B71EE1DE"/>
    <w:rsid w:val="BADF173F"/>
    <w:rsid w:val="BC7F42EB"/>
    <w:rsid w:val="BE1DD3DB"/>
    <w:rsid w:val="BFF3702B"/>
    <w:rsid w:val="BFF6C44B"/>
    <w:rsid w:val="BFFBE771"/>
    <w:rsid w:val="BFFFFC04"/>
    <w:rsid w:val="C87D361C"/>
    <w:rsid w:val="D57FEA81"/>
    <w:rsid w:val="D97C0045"/>
    <w:rsid w:val="DAED3199"/>
    <w:rsid w:val="DAFD0D04"/>
    <w:rsid w:val="DBE5F7EA"/>
    <w:rsid w:val="DDED9019"/>
    <w:rsid w:val="DDEF3D90"/>
    <w:rsid w:val="DF5E3239"/>
    <w:rsid w:val="DF9F197B"/>
    <w:rsid w:val="DFC5B22E"/>
    <w:rsid w:val="DFDBDF0B"/>
    <w:rsid w:val="DFDF21B5"/>
    <w:rsid w:val="DFEDBDD6"/>
    <w:rsid w:val="E0752BA7"/>
    <w:rsid w:val="EBABD82E"/>
    <w:rsid w:val="EBBA1790"/>
    <w:rsid w:val="EFFF7259"/>
    <w:rsid w:val="F175C4DB"/>
    <w:rsid w:val="F3BFF1AD"/>
    <w:rsid w:val="F6FFB567"/>
    <w:rsid w:val="F77E3BE2"/>
    <w:rsid w:val="F7A95DB0"/>
    <w:rsid w:val="F7AF9FCD"/>
    <w:rsid w:val="F7B3205D"/>
    <w:rsid w:val="F977B894"/>
    <w:rsid w:val="FB3CB1B3"/>
    <w:rsid w:val="FBE90B48"/>
    <w:rsid w:val="FBEFD815"/>
    <w:rsid w:val="FCBFABA4"/>
    <w:rsid w:val="FCFE9610"/>
    <w:rsid w:val="FDAB0972"/>
    <w:rsid w:val="FDDF33E9"/>
    <w:rsid w:val="FDEB7BD9"/>
    <w:rsid w:val="FE971EC6"/>
    <w:rsid w:val="FEBF7CC7"/>
    <w:rsid w:val="FEBFBB84"/>
    <w:rsid w:val="FF7E06D1"/>
    <w:rsid w:val="FFBB44C7"/>
    <w:rsid w:val="FFFBB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6">
    <w:name w:val="heading 4"/>
    <w:basedOn w:val="1"/>
    <w:next w:val="1"/>
    <w:qFormat/>
    <w:uiPriority w:val="0"/>
    <w:pPr>
      <w:keepNext/>
      <w:keepLines/>
      <w:spacing w:line="500" w:lineRule="exact"/>
      <w:outlineLvl w:val="3"/>
    </w:pPr>
    <w:rPr>
      <w:rFonts w:ascii="Arial" w:hAnsi="Arial" w:cs="宋体"/>
      <w:b/>
      <w:szCs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7">
    <w:name w:val="Normal Indent"/>
    <w:basedOn w:val="1"/>
    <w:next w:val="8"/>
    <w:qFormat/>
    <w:uiPriority w:val="0"/>
    <w:pPr>
      <w:adjustRightInd w:val="0"/>
      <w:snapToGrid w:val="0"/>
      <w:spacing w:line="360" w:lineRule="auto"/>
    </w:pPr>
    <w:rPr>
      <w:sz w:val="24"/>
    </w:rPr>
  </w:style>
  <w:style w:type="paragraph" w:styleId="8">
    <w:name w:val="Body Text"/>
    <w:basedOn w:val="1"/>
    <w:next w:val="9"/>
    <w:qFormat/>
    <w:uiPriority w:val="0"/>
    <w:pPr>
      <w:spacing w:line="240" w:lineRule="atLeast"/>
    </w:pPr>
    <w:rPr>
      <w:sz w:val="28"/>
    </w:rPr>
  </w:style>
  <w:style w:type="paragraph" w:customStyle="1" w:styleId="9">
    <w:name w:val="xl27"/>
    <w:basedOn w:val="1"/>
    <w:qFormat/>
    <w:uiPriority w:val="0"/>
    <w:pPr>
      <w:widowControl/>
      <w:pBdr>
        <w:bottom w:val="single" w:color="auto" w:sz="12" w:space="0"/>
      </w:pBdr>
      <w:spacing w:before="100" w:after="100"/>
      <w:jc w:val="center"/>
    </w:pPr>
    <w:rPr>
      <w:rFonts w:ascii="宋体"/>
      <w:kern w:val="0"/>
      <w:szCs w:val="20"/>
    </w:rPr>
  </w:style>
  <w:style w:type="paragraph" w:styleId="10">
    <w:name w:val="caption"/>
    <w:basedOn w:val="1"/>
    <w:next w:val="1"/>
    <w:qFormat/>
    <w:uiPriority w:val="35"/>
    <w:pPr>
      <w:ind w:firstLine="0" w:firstLineChars="0"/>
      <w:jc w:val="center"/>
    </w:pPr>
    <w:rPr>
      <w:rFonts w:ascii="Times New Roman" w:hAnsi="Times New Roman" w:eastAsia="宋体" w:cs="Times New Roman"/>
      <w:b/>
      <w:szCs w:val="20"/>
    </w:rPr>
  </w:style>
  <w:style w:type="paragraph" w:styleId="11">
    <w:name w:val="Body Text Indent"/>
    <w:basedOn w:val="1"/>
    <w:next w:val="10"/>
    <w:unhideWhenUsed/>
    <w:qFormat/>
    <w:uiPriority w:val="0"/>
    <w:pPr>
      <w:spacing w:after="120"/>
      <w:ind w:left="420" w:leftChars="200"/>
    </w:p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semiHidden/>
    <w:qFormat/>
    <w:uiPriority w:val="0"/>
    <w:pPr>
      <w:adjustRightInd w:val="0"/>
      <w:snapToGrid w:val="0"/>
      <w:spacing w:line="280" w:lineRule="exact"/>
      <w:jc w:val="center"/>
    </w:pPr>
    <w:rPr>
      <w:sz w:val="24"/>
      <w:szCs w:val="20"/>
    </w:rPr>
  </w:style>
  <w:style w:type="paragraph" w:styleId="15">
    <w:name w:val="Body Text First Indent"/>
    <w:basedOn w:val="8"/>
    <w:qFormat/>
    <w:uiPriority w:val="0"/>
    <w:pPr>
      <w:spacing w:after="120"/>
      <w:ind w:firstLine="420" w:firstLineChars="100"/>
    </w:pPr>
    <w:rPr>
      <w:sz w:val="21"/>
      <w:szCs w:val="24"/>
    </w:rPr>
  </w:style>
  <w:style w:type="character" w:styleId="18">
    <w:name w:val="FollowedHyperlink"/>
    <w:basedOn w:val="17"/>
    <w:semiHidden/>
    <w:unhideWhenUsed/>
    <w:qFormat/>
    <w:uiPriority w:val="99"/>
    <w:rPr>
      <w:color w:val="000000"/>
      <w:u w:val="none"/>
    </w:rPr>
  </w:style>
  <w:style w:type="character" w:styleId="19">
    <w:name w:val="Emphasis"/>
    <w:basedOn w:val="17"/>
    <w:qFormat/>
    <w:uiPriority w:val="20"/>
  </w:style>
  <w:style w:type="character" w:styleId="20">
    <w:name w:val="Hyperlink"/>
    <w:basedOn w:val="17"/>
    <w:semiHidden/>
    <w:unhideWhenUsed/>
    <w:qFormat/>
    <w:uiPriority w:val="99"/>
    <w:rPr>
      <w:color w:val="000000"/>
      <w:u w:val="none"/>
    </w:rPr>
  </w:style>
  <w:style w:type="paragraph" w:customStyle="1" w:styleId="21">
    <w:name w:val="默认段落"/>
    <w:qFormat/>
    <w:uiPriority w:val="0"/>
    <w:pPr>
      <w:widowControl w:val="0"/>
      <w:jc w:val="both"/>
    </w:pPr>
    <w:rPr>
      <w:rFonts w:ascii="Calibri" w:hAnsi="Calibri" w:eastAsia="宋体" w:cs="Times New Roman"/>
      <w:kern w:val="2"/>
      <w:sz w:val="21"/>
      <w:lang w:val="en-US" w:eastAsia="zh-CN" w:bidi="ar-SA"/>
    </w:rPr>
  </w:style>
  <w:style w:type="paragraph" w:customStyle="1" w:styleId="22">
    <w:name w:val="Default"/>
    <w:basedOn w:val="23"/>
    <w:qFormat/>
    <w:uiPriority w:val="0"/>
    <w:pPr>
      <w:widowControl w:val="0"/>
      <w:autoSpaceDE w:val="0"/>
      <w:autoSpaceDN w:val="0"/>
      <w:adjustRightInd w:val="0"/>
    </w:pPr>
    <w:rPr>
      <w:color w:val="000000"/>
      <w:sz w:val="24"/>
      <w:szCs w:val="24"/>
      <w:lang w:val="en-US" w:eastAsia="zh-CN" w:bidi="ar-SA"/>
    </w:rPr>
  </w:style>
  <w:style w:type="paragraph" w:customStyle="1" w:styleId="2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24">
    <w:name w:val="NormalCharacter"/>
    <w:qFormat/>
    <w:uiPriority w:val="0"/>
    <w:rPr>
      <w:rFonts w:ascii="Times New Roman" w:hAnsi="Times New Roman" w:eastAsia="宋体"/>
    </w:rPr>
  </w:style>
  <w:style w:type="character" w:customStyle="1" w:styleId="25">
    <w:name w:val="cur1"/>
    <w:basedOn w:val="17"/>
    <w:qFormat/>
    <w:uiPriority w:val="0"/>
    <w:rPr>
      <w:color w:val="FFFFFF"/>
      <w:shd w:val="clear" w:fill="2F6B98"/>
    </w:rPr>
  </w:style>
  <w:style w:type="character" w:customStyle="1" w:styleId="26">
    <w:name w:val="znspantitle"/>
    <w:basedOn w:val="17"/>
    <w:qFormat/>
    <w:uiPriority w:val="0"/>
    <w:rPr>
      <w:b/>
      <w:bCs/>
      <w:color w:val="333333"/>
    </w:rPr>
  </w:style>
  <w:style w:type="character" w:customStyle="1" w:styleId="27">
    <w:name w:val="lable"/>
    <w:basedOn w:val="17"/>
    <w:qFormat/>
    <w:uiPriority w:val="0"/>
    <w:rPr>
      <w:sz w:val="24"/>
      <w:szCs w:val="24"/>
    </w:rPr>
  </w:style>
  <w:style w:type="character" w:customStyle="1" w:styleId="28">
    <w:name w:val="lishishuju"/>
    <w:basedOn w:val="17"/>
    <w:qFormat/>
    <w:uiPriority w:val="0"/>
    <w:rPr>
      <w:b/>
      <w:bCs/>
      <w:color w:val="000052"/>
      <w:sz w:val="24"/>
      <w:szCs w:val="24"/>
      <w:bdr w:val="single" w:color="E3E3E3" w:sz="6" w:space="0"/>
    </w:rPr>
  </w:style>
  <w:style w:type="character" w:customStyle="1" w:styleId="29">
    <w:name w:val="radio-btn"/>
    <w:basedOn w:val="17"/>
    <w:qFormat/>
    <w:uiPriority w:val="0"/>
    <w:rPr>
      <w:sz w:val="24"/>
      <w:szCs w:val="24"/>
    </w:rPr>
  </w:style>
  <w:style w:type="character" w:customStyle="1" w:styleId="30">
    <w:name w:val="radio-btn1"/>
    <w:basedOn w:val="17"/>
    <w:qFormat/>
    <w:uiPriority w:val="0"/>
    <w:rPr>
      <w:sz w:val="24"/>
      <w:szCs w:val="24"/>
    </w:rPr>
  </w:style>
  <w:style w:type="character" w:customStyle="1" w:styleId="31">
    <w:name w:val="radio-btn2"/>
    <w:basedOn w:val="17"/>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3014</Words>
  <Characters>3199</Characters>
  <Lines>24</Lines>
  <Paragraphs>6</Paragraphs>
  <TotalTime>9</TotalTime>
  <ScaleCrop>false</ScaleCrop>
  <LinksUpToDate>false</LinksUpToDate>
  <CharactersWithSpaces>3208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2021-04-01T01:03:00Z</dcterms:created>
  <dc:creator>w's'd</dc:creator>
  <cp:lastModifiedBy>administrator</cp:lastModifiedBy>
  <cp:lastPrinted>2023-05-09T11:03:00Z</cp:lastPrinted>
  <dcterms:modified xsi:type="dcterms:W3CDTF">2025-10-14T10:38:34Z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6F7554882745E007B0A6EC68085D5A0F_43</vt:lpwstr>
  </property>
</Properties>
</file>