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86BE5">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ascii="仿宋" w:hAnsi="仿宋" w:eastAsia="仿宋" w:cs="Times New Roman"/>
          <w:b/>
          <w:bCs/>
          <w:kern w:val="0"/>
          <w:sz w:val="44"/>
          <w:szCs w:val="44"/>
        </w:rPr>
      </w:pPr>
      <w:r>
        <w:rPr>
          <w:rFonts w:hint="eastAsia" w:ascii="仿宋" w:hAnsi="仿宋" w:eastAsia="仿宋" w:cs="Times New Roman"/>
          <w:sz w:val="32"/>
          <w:szCs w:val="32"/>
        </w:rPr>
        <w:t xml:space="preserve">     </w:t>
      </w:r>
    </w:p>
    <w:p w14:paraId="059A7268">
      <w:pPr>
        <w:keepNext w:val="0"/>
        <w:keepLines w:val="0"/>
        <w:pageBreakBefore w:val="0"/>
        <w:widowControl w:val="0"/>
        <w:kinsoku/>
        <w:wordWrap/>
        <w:overflowPunct/>
        <w:topLinePunct w:val="0"/>
        <w:autoSpaceDE/>
        <w:autoSpaceDN/>
        <w:bidi w:val="0"/>
        <w:adjustRightInd/>
        <w:snapToGrid/>
        <w:spacing w:before="156" w:beforeLines="50" w:after="157" w:afterLines="50" w:line="560" w:lineRule="exact"/>
        <w:jc w:val="righ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秦审批环准</w:t>
      </w:r>
      <w:r>
        <w:rPr>
          <w:rFonts w:hint="eastAsia" w:ascii="Times New Roman" w:hAnsi="Times New Roman" w:eastAsia="仿宋_GB2312" w:cs="仿宋_GB2312"/>
          <w:color w:val="auto"/>
          <w:sz w:val="32"/>
          <w:szCs w:val="32"/>
          <w:lang w:val="en-US" w:eastAsia="zh-CN"/>
        </w:rPr>
        <w:t>许〔202</w:t>
      </w:r>
      <w:r>
        <w:rPr>
          <w:rFonts w:hint="default"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val="en-US" w:eastAsia="zh-CN"/>
        </w:rPr>
        <w:t>〕02-0038号</w:t>
      </w:r>
    </w:p>
    <w:p w14:paraId="6150D0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关于</w:t>
      </w:r>
      <w:r>
        <w:rPr>
          <w:rFonts w:hint="default" w:ascii="方正小标宋简体" w:hAnsi="方正小标宋简体" w:eastAsia="方正小标宋简体" w:cs="方正小标宋简体"/>
          <w:kern w:val="44"/>
          <w:sz w:val="44"/>
          <w:szCs w:val="44"/>
          <w:lang w:val="en-US" w:eastAsia="zh-CN"/>
        </w:rPr>
        <w:t>工企危服（秦皇岛）环保科技有限公司危险废物收集贮存转运项目</w:t>
      </w:r>
      <w:r>
        <w:rPr>
          <w:rFonts w:hint="eastAsia" w:ascii="方正小标宋简体" w:hAnsi="方正小标宋简体" w:eastAsia="方正小标宋简体" w:cs="方正小标宋简体"/>
          <w:kern w:val="44"/>
          <w:sz w:val="44"/>
          <w:szCs w:val="44"/>
        </w:rPr>
        <w:t>环境影响报告表的</w:t>
      </w:r>
    </w:p>
    <w:p w14:paraId="304625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批复</w:t>
      </w:r>
    </w:p>
    <w:p w14:paraId="2CEF44C8">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仿宋" w:hAnsi="仿宋" w:eastAsia="仿宋" w:cs="Times New Roman"/>
          <w:sz w:val="32"/>
          <w:szCs w:val="32"/>
          <w:lang w:eastAsia="zh-CN"/>
        </w:rPr>
      </w:pPr>
    </w:p>
    <w:p w14:paraId="240421D0">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工企危服（秦皇岛）环保科技有限公司</w:t>
      </w:r>
      <w:r>
        <w:rPr>
          <w:rFonts w:hint="eastAsia" w:ascii="仿宋_GB2312" w:hAnsi="仿宋_GB2312" w:eastAsia="仿宋_GB2312" w:cs="仿宋_GB2312"/>
          <w:sz w:val="32"/>
          <w:szCs w:val="32"/>
        </w:rPr>
        <w:t>：</w:t>
      </w:r>
    </w:p>
    <w:p w14:paraId="5ED418A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所</w:t>
      </w:r>
      <w:r>
        <w:rPr>
          <w:rFonts w:hint="eastAsia" w:ascii="仿宋_GB2312" w:hAnsi="仿宋_GB2312" w:eastAsia="仿宋_GB2312" w:cs="仿宋_GB2312"/>
          <w:sz w:val="32"/>
          <w:szCs w:val="32"/>
        </w:rPr>
        <w:t>报《</w:t>
      </w:r>
      <w:r>
        <w:rPr>
          <w:rFonts w:hint="default" w:ascii="仿宋_GB2312" w:hAnsi="仿宋_GB2312" w:eastAsia="仿宋_GB2312" w:cs="仿宋_GB2312"/>
          <w:sz w:val="32"/>
          <w:szCs w:val="32"/>
          <w:lang w:val="en-US" w:eastAsia="zh-CN"/>
        </w:rPr>
        <w:t>工企危服（秦皇岛）环保科技有限公司危险废物收集贮存转运项目</w:t>
      </w:r>
      <w:r>
        <w:rPr>
          <w:rFonts w:hint="eastAsia" w:ascii="仿宋_GB2312" w:hAnsi="仿宋_GB2312" w:eastAsia="仿宋_GB2312" w:cs="仿宋_GB2312"/>
          <w:sz w:val="32"/>
          <w:szCs w:val="32"/>
        </w:rPr>
        <w:t>环境影响报告表》（以下简称《报告表》）</w:t>
      </w:r>
      <w:r>
        <w:rPr>
          <w:rFonts w:hint="eastAsia" w:ascii="仿宋_GB2312" w:hAnsi="仿宋_GB2312" w:eastAsia="仿宋_GB2312" w:cs="仿宋_GB2312"/>
          <w:color w:val="000000"/>
          <w:sz w:val="32"/>
          <w:szCs w:val="32"/>
          <w:shd w:val="clear" w:color="auto" w:fill="FFFFFF"/>
        </w:rPr>
        <w:t>审批申请</w:t>
      </w:r>
      <w:r>
        <w:rPr>
          <w:rFonts w:hint="eastAsia" w:ascii="仿宋_GB2312" w:hAnsi="仿宋_GB2312" w:eastAsia="仿宋_GB2312" w:cs="仿宋_GB2312"/>
          <w:sz w:val="32"/>
          <w:szCs w:val="32"/>
        </w:rPr>
        <w:t>及相关材料</w:t>
      </w:r>
      <w:r>
        <w:rPr>
          <w:rFonts w:hint="eastAsia" w:ascii="仿宋_GB2312" w:hAnsi="仿宋_GB2312" w:eastAsia="仿宋_GB2312" w:cs="仿宋_GB2312"/>
          <w:color w:val="000000"/>
          <w:kern w:val="0"/>
          <w:sz w:val="32"/>
          <w:szCs w:val="32"/>
        </w:rPr>
        <w:t>收悉。</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kern w:val="0"/>
          <w:sz w:val="32"/>
          <w:szCs w:val="32"/>
          <w:lang w:val="en-US" w:eastAsia="zh-CN"/>
        </w:rPr>
        <w:t>环境影响</w:t>
      </w:r>
      <w:r>
        <w:rPr>
          <w:rFonts w:hint="eastAsia" w:ascii="仿宋_GB2312" w:hAnsi="仿宋_GB2312" w:eastAsia="仿宋_GB2312" w:cs="仿宋_GB2312"/>
          <w:color w:val="auto"/>
          <w:kern w:val="0"/>
          <w:sz w:val="32"/>
          <w:szCs w:val="32"/>
        </w:rPr>
        <w:t>报告</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结论、专家意见</w:t>
      </w:r>
      <w:r>
        <w:rPr>
          <w:rFonts w:hint="eastAsia" w:ascii="仿宋_GB2312" w:hAnsi="仿宋_GB2312" w:eastAsia="仿宋_GB2312" w:cs="仿宋_GB2312"/>
          <w:color w:val="auto"/>
          <w:kern w:val="0"/>
          <w:sz w:val="32"/>
          <w:szCs w:val="32"/>
          <w:lang w:val="en-US" w:eastAsia="zh-CN"/>
        </w:rPr>
        <w:t>、项目</w:t>
      </w:r>
      <w:r>
        <w:rPr>
          <w:rFonts w:hint="eastAsia" w:ascii="仿宋_GB2312" w:hAnsi="仿宋_GB2312" w:eastAsia="仿宋_GB2312" w:cs="仿宋_GB2312"/>
          <w:color w:val="auto"/>
          <w:kern w:val="0"/>
          <w:sz w:val="32"/>
          <w:szCs w:val="32"/>
        </w:rPr>
        <w:t>环境影响特点及</w:t>
      </w:r>
      <w:r>
        <w:rPr>
          <w:rFonts w:hint="eastAsia" w:ascii="仿宋_GB2312" w:hAnsi="仿宋_GB2312" w:eastAsia="仿宋_GB2312" w:cs="仿宋_GB2312"/>
          <w:color w:val="auto"/>
          <w:kern w:val="0"/>
          <w:sz w:val="32"/>
          <w:szCs w:val="32"/>
          <w:lang w:val="en-US" w:eastAsia="zh-CN"/>
        </w:rPr>
        <w:t>公示反馈等方面情况</w:t>
      </w:r>
      <w:r>
        <w:rPr>
          <w:rFonts w:hint="eastAsia" w:ascii="仿宋_GB2312" w:hAnsi="仿宋_GB2312" w:eastAsia="仿宋_GB2312" w:cs="仿宋_GB2312"/>
          <w:color w:val="auto"/>
          <w:kern w:val="0"/>
          <w:sz w:val="32"/>
          <w:szCs w:val="32"/>
        </w:rPr>
        <w:t xml:space="preserve">，经研究，现批复如下： </w:t>
      </w:r>
    </w:p>
    <w:p w14:paraId="684871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项目建设内容和总体要求</w:t>
      </w:r>
    </w:p>
    <w:p w14:paraId="444E4B4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该项目位于河北省秦皇岛市</w:t>
      </w:r>
      <w:r>
        <w:rPr>
          <w:rFonts w:hint="eastAsia" w:ascii="仿宋_GB2312" w:hAnsi="仿宋_GB2312" w:eastAsia="仿宋_GB2312" w:cs="仿宋_GB2312"/>
          <w:sz w:val="32"/>
          <w:szCs w:val="32"/>
          <w:lang w:eastAsia="zh-CN"/>
        </w:rPr>
        <w:t>经济技术开发区</w:t>
      </w:r>
      <w:r>
        <w:rPr>
          <w:rFonts w:hint="eastAsia" w:ascii="仿宋_GB2312" w:hAnsi="仿宋_GB2312" w:eastAsia="仿宋_GB2312" w:cs="仿宋_GB2312"/>
          <w:sz w:val="32"/>
          <w:szCs w:val="32"/>
        </w:rPr>
        <w:t>镜泊湖路6号，工企危服(秦皇岛)环保科技有限公司现有厂房内，为扩建项目，</w:t>
      </w:r>
      <w:r>
        <w:rPr>
          <w:rFonts w:hint="eastAsia" w:ascii="仿宋_GB2312" w:hAnsi="仿宋_GB2312" w:eastAsia="仿宋_GB2312" w:cs="仿宋_GB2312"/>
          <w:color w:val="auto"/>
          <w:sz w:val="32"/>
          <w:szCs w:val="32"/>
        </w:rPr>
        <w:t>项目主要建设内容：</w:t>
      </w:r>
      <w:r>
        <w:rPr>
          <w:rFonts w:hint="eastAsia" w:ascii="仿宋_GB2312" w:hAnsi="仿宋_GB2312" w:eastAsia="仿宋_GB2312" w:cs="仿宋_GB2312"/>
          <w:color w:val="auto"/>
          <w:sz w:val="32"/>
          <w:szCs w:val="32"/>
          <w:lang w:val="en-US" w:eastAsia="zh-CN"/>
        </w:rPr>
        <w:t>利用厂区内现有厂房，设置一条废油集中收集贮存转运生产线，一条废桶集中收集贮存转运生产线，新上压块机、桶槽等设备，进行废油、废桶的集中收集贮存转运。项目建设完成后，年收集贮存转运废油2000t，年收集贮存转运废桶15000t。</w:t>
      </w:r>
      <w:r>
        <w:rPr>
          <w:rFonts w:hint="eastAsia" w:ascii="仿宋_GB2312" w:hAnsi="仿宋_GB2312" w:eastAsia="仿宋_GB2312" w:cs="仿宋_GB2312"/>
          <w:b w:val="0"/>
          <w:bCs w:val="0"/>
          <w:color w:val="auto"/>
          <w:sz w:val="32"/>
          <w:szCs w:val="32"/>
          <w:lang w:eastAsia="zh-CN"/>
        </w:rPr>
        <w:t>项目总投资</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00万元，其中环保投资</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eastAsia="zh-CN"/>
        </w:rPr>
        <w:t>万元，占总投资的</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p>
    <w:p w14:paraId="1E74CA3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0000FF"/>
          <w:kern w:val="0"/>
          <w:sz w:val="32"/>
          <w:szCs w:val="32"/>
        </w:rPr>
      </w:pPr>
      <w:r>
        <w:rPr>
          <w:rFonts w:hint="eastAsia" w:ascii="仿宋_GB2312" w:hAnsi="仿宋_GB2312" w:eastAsia="仿宋_GB2312" w:cs="仿宋_GB2312"/>
          <w:b w:val="0"/>
          <w:bCs w:val="0"/>
          <w:kern w:val="0"/>
          <w:sz w:val="32"/>
          <w:szCs w:val="32"/>
        </w:rPr>
        <w:t>项目不属于《产业结构调整指导目录》（2024年本）限制、淘汰类；</w:t>
      </w:r>
      <w:r>
        <w:rPr>
          <w:rFonts w:hint="eastAsia" w:ascii="仿宋_GB2312" w:hAnsi="仿宋_GB2312" w:eastAsia="仿宋_GB2312" w:cs="仿宋_GB2312"/>
          <w:b w:val="0"/>
          <w:bCs w:val="0"/>
          <w:sz w:val="32"/>
          <w:szCs w:val="32"/>
        </w:rPr>
        <w:t>不属于《市场准入负面清单》（2025年版）中禁止准入类项目</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color w:val="auto"/>
          <w:kern w:val="0"/>
          <w:sz w:val="32"/>
          <w:szCs w:val="32"/>
        </w:rPr>
        <w:t>该项目已通</w:t>
      </w:r>
      <w:bookmarkStart w:id="0" w:name="_GoBack"/>
      <w:bookmarkEnd w:id="0"/>
      <w:r>
        <w:rPr>
          <w:rFonts w:hint="eastAsia" w:ascii="仿宋_GB2312" w:hAnsi="仿宋_GB2312" w:eastAsia="仿宋_GB2312" w:cs="仿宋_GB2312"/>
          <w:b w:val="0"/>
          <w:bCs w:val="0"/>
          <w:color w:val="auto"/>
          <w:kern w:val="0"/>
          <w:sz w:val="32"/>
          <w:szCs w:val="32"/>
        </w:rPr>
        <w:t>过</w:t>
      </w:r>
      <w:r>
        <w:rPr>
          <w:rFonts w:hint="eastAsia" w:ascii="仿宋_GB2312" w:hAnsi="仿宋_GB2312" w:eastAsia="仿宋_GB2312" w:cs="仿宋_GB2312"/>
          <w:b w:val="0"/>
          <w:bCs w:val="0"/>
          <w:color w:val="auto"/>
          <w:sz w:val="32"/>
          <w:szCs w:val="32"/>
          <w:lang w:val="en-US" w:eastAsia="zh-CN"/>
        </w:rPr>
        <w:t>秦皇岛经济技术经济技术开发区行政审批局</w:t>
      </w:r>
      <w:r>
        <w:rPr>
          <w:rFonts w:hint="eastAsia" w:ascii="仿宋_GB2312" w:hAnsi="仿宋_GB2312" w:eastAsia="仿宋_GB2312" w:cs="仿宋_GB2312"/>
          <w:b w:val="0"/>
          <w:bCs w:val="0"/>
          <w:color w:val="auto"/>
          <w:kern w:val="0"/>
          <w:sz w:val="32"/>
          <w:szCs w:val="32"/>
        </w:rPr>
        <w:t>备案,</w:t>
      </w:r>
      <w:r>
        <w:rPr>
          <w:rFonts w:hint="eastAsia" w:ascii="仿宋_GB2312" w:hAnsi="仿宋_GB2312" w:eastAsia="仿宋_GB2312" w:cs="仿宋_GB2312"/>
          <w:b w:val="0"/>
          <w:bCs w:val="0"/>
          <w:color w:val="auto"/>
          <w:sz w:val="32"/>
          <w:szCs w:val="32"/>
          <w:highlight w:val="none"/>
        </w:rPr>
        <w:t>备案编号:</w:t>
      </w:r>
      <w:r>
        <w:rPr>
          <w:rFonts w:hint="eastAsia" w:ascii="仿宋_GB2312" w:hAnsi="仿宋_GB2312" w:eastAsia="仿宋_GB2312" w:cs="仿宋_GB2312"/>
          <w:b w:val="0"/>
          <w:bCs w:val="0"/>
          <w:color w:val="auto"/>
          <w:sz w:val="32"/>
          <w:szCs w:val="32"/>
          <w:lang w:val="en-US" w:eastAsia="zh-CN"/>
        </w:rPr>
        <w:t>冀秦区备字〔2025〕52号</w:t>
      </w:r>
      <w:r>
        <w:rPr>
          <w:rFonts w:hint="eastAsia" w:ascii="仿宋_GB2312" w:hAnsi="仿宋_GB2312" w:eastAsia="仿宋_GB2312" w:cs="仿宋_GB2312"/>
          <w:b w:val="0"/>
          <w:bCs w:val="0"/>
          <w:color w:val="auto"/>
          <w:kern w:val="0"/>
          <w:sz w:val="32"/>
          <w:szCs w:val="32"/>
          <w:lang w:val="en-US" w:eastAsia="zh-CN"/>
        </w:rPr>
        <w:t>。</w:t>
      </w:r>
    </w:p>
    <w:p w14:paraId="7A9366AD">
      <w:pPr>
        <w:keepNext w:val="0"/>
        <w:keepLines w:val="0"/>
        <w:pageBreakBefore w:val="0"/>
        <w:widowControl w:val="0"/>
        <w:kinsoku/>
        <w:wordWrap/>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该《报告表》已通过河北超泰环保科技有限公司评估，结合评估意见（</w:t>
      </w:r>
      <w:r>
        <w:rPr>
          <w:rFonts w:hint="eastAsia" w:ascii="仿宋_GB2312" w:hAnsi="仿宋_GB2312" w:eastAsia="仿宋_GB2312" w:cs="仿宋_GB2312"/>
          <w:b w:val="0"/>
          <w:bCs/>
          <w:color w:val="auto"/>
          <w:sz w:val="32"/>
          <w:szCs w:val="32"/>
          <w:highlight w:val="none"/>
          <w:lang w:eastAsia="zh-CN"/>
        </w:rPr>
        <w:t>超泰</w:t>
      </w:r>
      <w:r>
        <w:rPr>
          <w:rFonts w:hint="eastAsia" w:ascii="仿宋_GB2312" w:hAnsi="仿宋_GB2312" w:eastAsia="仿宋_GB2312" w:cs="仿宋_GB2312"/>
          <w:b w:val="0"/>
          <w:bCs/>
          <w:color w:val="auto"/>
          <w:sz w:val="32"/>
          <w:szCs w:val="32"/>
          <w:highlight w:val="none"/>
        </w:rPr>
        <w:t>环评</w:t>
      </w:r>
      <w:r>
        <w:rPr>
          <w:rFonts w:hint="eastAsia" w:ascii="仿宋_GB2312" w:hAnsi="仿宋_GB2312" w:eastAsia="仿宋_GB2312" w:cs="仿宋_GB2312"/>
          <w:color w:val="000000"/>
          <w:kern w:val="0"/>
          <w:sz w:val="32"/>
          <w:szCs w:val="32"/>
        </w:rPr>
        <w:t>［202</w:t>
      </w:r>
      <w:r>
        <w:rPr>
          <w:rFonts w:hint="default" w:ascii="仿宋_GB2312" w:hAnsi="仿宋_GB2312" w:eastAsia="仿宋_GB2312" w:cs="仿宋_GB2312"/>
          <w:color w:val="000000"/>
          <w:kern w:val="0"/>
          <w:sz w:val="32"/>
          <w:szCs w:val="32"/>
          <w:lang w:val="en-US"/>
        </w:rPr>
        <w:t>5</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rPr>
        <w:t>7</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eastAsia="zh-CN"/>
        </w:rPr>
        <w:t>及</w:t>
      </w:r>
      <w:r>
        <w:rPr>
          <w:rFonts w:hint="eastAsia" w:ascii="仿宋_GB2312" w:hAnsi="仿宋_GB2312" w:eastAsia="仿宋_GB2312" w:cs="仿宋_GB2312"/>
          <w:color w:val="000000"/>
          <w:kern w:val="0"/>
          <w:sz w:val="32"/>
          <w:szCs w:val="32"/>
        </w:rPr>
        <w:t>公示反馈情况，在项目符合国家和地方产业政策，选址符合用地规划及环境保护功能区划以及全面落实环境影响报告表提出的各项污染防治措施后，工程建设对环境的不利影响能够得到减缓和控制。我局原则同意环境影响报告表中所列建设项目的地点、性质、规模、工艺和拟采取的环境保护措施。</w:t>
      </w:r>
    </w:p>
    <w:p w14:paraId="2BCAD09E">
      <w:pPr>
        <w:keepNext w:val="0"/>
        <w:keepLines w:val="0"/>
        <w:pageBreakBefore w:val="0"/>
        <w:widowControl w:val="0"/>
        <w:kinsoku/>
        <w:wordWrap/>
        <w:overflowPunct/>
        <w:topLinePunct w:val="0"/>
        <w:autoSpaceDE/>
        <w:autoSpaceDN/>
        <w:bidi w:val="0"/>
        <w:snapToGrid w:val="0"/>
        <w:spacing w:line="560" w:lineRule="exact"/>
        <w:ind w:left="0" w:righ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项目须加强生产全过程管理，强化综合利用，降低能耗物耗，减少各种污染物的产生量和排放量。同时，你公司在项目建设和运行过程中要认真落实《报告表》提出的各项污染防治措施，确保各治污设施正常运行，各种污染物达标排放，各项环保设施设计应当由具有环保设施工程设计资质的单位承担，按照要求</w:t>
      </w:r>
      <w:r>
        <w:rPr>
          <w:rFonts w:hint="eastAsia" w:ascii="仿宋_GB2312" w:hAnsi="仿宋_GB2312" w:eastAsia="仿宋_GB2312" w:cs="仿宋_GB2312"/>
          <w:spacing w:val="-6"/>
          <w:sz w:val="32"/>
          <w:szCs w:val="32"/>
        </w:rPr>
        <w:t>认真落实各项污染防治措施，加强环保设施运营管理，确保满足相关要求，</w:t>
      </w:r>
      <w:r>
        <w:rPr>
          <w:rFonts w:hint="eastAsia" w:ascii="仿宋_GB2312" w:hAnsi="仿宋_GB2312" w:eastAsia="仿宋_GB2312" w:cs="仿宋_GB2312"/>
          <w:color w:val="000000"/>
          <w:kern w:val="0"/>
          <w:sz w:val="32"/>
          <w:szCs w:val="32"/>
        </w:rPr>
        <w:t>并重点做好以下工作：</w:t>
      </w:r>
    </w:p>
    <w:p w14:paraId="34F184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lang w:eastAsia="zh-CN"/>
        </w:rPr>
        <w:t>（一）</w:t>
      </w:r>
      <w:r>
        <w:rPr>
          <w:rFonts w:hint="eastAsia" w:ascii="仿宋_GB2312" w:hAnsi="仿宋_GB2312" w:eastAsia="仿宋_GB2312" w:cs="仿宋_GB2312"/>
          <w:color w:val="000000"/>
          <w:spacing w:val="-6"/>
          <w:sz w:val="32"/>
          <w:szCs w:val="32"/>
        </w:rPr>
        <w:t>加强施工期环境管理，减少施工对环境的影响</w:t>
      </w:r>
    </w:p>
    <w:p w14:paraId="20A45F8C">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auto"/>
          <w:spacing w:val="-6"/>
          <w:sz w:val="32"/>
          <w:szCs w:val="32"/>
        </w:rPr>
      </w:pPr>
      <w:r>
        <w:rPr>
          <w:rFonts w:hint="default" w:ascii="仿宋_GB2312" w:hAnsi="仿宋_GB2312" w:eastAsia="仿宋_GB2312" w:cs="仿宋_GB2312"/>
          <w:color w:val="000000"/>
          <w:spacing w:val="-6"/>
          <w:sz w:val="32"/>
          <w:szCs w:val="32"/>
        </w:rPr>
        <w:t xml:space="preserve">  </w:t>
      </w:r>
      <w:r>
        <w:rPr>
          <w:rFonts w:hint="default"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6"/>
          <w:sz w:val="32"/>
          <w:szCs w:val="32"/>
        </w:rPr>
        <w:t>1</w:t>
      </w:r>
      <w:r>
        <w:rPr>
          <w:rFonts w:hint="eastAsia" w:ascii="仿宋_GB2312" w:hAnsi="仿宋_GB2312" w:eastAsia="仿宋_GB2312" w:cs="仿宋_GB2312"/>
          <w:color w:val="auto"/>
          <w:spacing w:val="-6"/>
          <w:sz w:val="32"/>
          <w:szCs w:val="32"/>
          <w:lang w:val="en-US" w:eastAsia="zh-CN"/>
        </w:rPr>
        <w:t>.</w:t>
      </w:r>
      <w:r>
        <w:rPr>
          <w:rFonts w:hint="eastAsia" w:ascii="仿宋_GB2312" w:hAnsi="仿宋_GB2312" w:eastAsia="仿宋_GB2312" w:cs="仿宋_GB2312"/>
          <w:color w:val="auto"/>
          <w:spacing w:val="-6"/>
          <w:sz w:val="32"/>
          <w:szCs w:val="32"/>
        </w:rPr>
        <w:t>建设及施工单位要严格执行《中共秦皇岛市委秦皇岛市人民政府关于强力推进大气污染综合治理的实施意见》、《秦皇岛市扬尘综合整治专项实施方案》和《河北省扬尘污染防治办法》中有关施工扬尘的管理规定，同时结合《防治城市扬尘污染技术规范》(HJ/T393-2007)及同类施工场地采取的抑尘措施，落实各项控制扬尘污染措施，施工场地扬尘排放执行《施工场地扬尘排放标准》（DB13/2934-2019）的要求。</w:t>
      </w:r>
      <w:r>
        <w:rPr>
          <w:rFonts w:hint="eastAsia" w:ascii="仿宋_GB2312" w:hAnsi="仿宋_GB2312" w:eastAsia="仿宋_GB2312" w:cs="仿宋_GB2312"/>
          <w:color w:val="auto"/>
          <w:spacing w:val="-6"/>
          <w:sz w:val="32"/>
          <w:szCs w:val="32"/>
          <w:lang w:eastAsia="zh-CN"/>
        </w:rPr>
        <w:t>本项目</w:t>
      </w:r>
      <w:r>
        <w:rPr>
          <w:rFonts w:hint="eastAsia" w:ascii="仿宋_GB2312" w:hAnsi="仿宋_GB2312" w:eastAsia="仿宋_GB2312" w:cs="仿宋_GB2312"/>
          <w:color w:val="auto"/>
          <w:spacing w:val="-6"/>
          <w:sz w:val="32"/>
          <w:szCs w:val="32"/>
        </w:rPr>
        <w:t>采用低噪声施工机械，避免高噪声机械同时作业，合理安排施工时间及进度，禁止夜间施工，确需夜间施工的，提前到相关部门登记并告知周边村民，施工阶段作业噪声要满足《建筑施工场界环境噪声排放标准》(GB12523-2011)</w:t>
      </w:r>
      <w:r>
        <w:rPr>
          <w:rFonts w:hint="eastAsia" w:ascii="仿宋_GB2312" w:hAnsi="仿宋_GB2312" w:eastAsia="仿宋_GB2312" w:cs="仿宋_GB2312"/>
          <w:color w:val="auto"/>
          <w:spacing w:val="-6"/>
          <w:sz w:val="32"/>
          <w:szCs w:val="32"/>
          <w:lang w:eastAsia="zh-CN"/>
        </w:rPr>
        <w:t>中限值</w:t>
      </w:r>
      <w:r>
        <w:rPr>
          <w:rFonts w:hint="eastAsia" w:ascii="仿宋_GB2312" w:hAnsi="仿宋_GB2312" w:eastAsia="仿宋_GB2312" w:cs="仿宋_GB2312"/>
          <w:color w:val="auto"/>
          <w:spacing w:val="-6"/>
          <w:sz w:val="32"/>
          <w:szCs w:val="32"/>
        </w:rPr>
        <w:t>要求；施工期产生的生活垃圾由环卫部门统一收集处置</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建筑垃圾</w:t>
      </w:r>
      <w:r>
        <w:rPr>
          <w:rFonts w:hint="eastAsia" w:ascii="仿宋_GB2312" w:hAnsi="仿宋_GB2312" w:eastAsia="仿宋_GB2312" w:cs="仿宋_GB2312"/>
          <w:color w:val="auto"/>
          <w:spacing w:val="-6"/>
          <w:sz w:val="32"/>
          <w:szCs w:val="32"/>
          <w:lang w:eastAsia="zh-CN"/>
        </w:rPr>
        <w:t>须依法依规进行处置</w:t>
      </w:r>
      <w:r>
        <w:rPr>
          <w:rFonts w:hint="eastAsia" w:ascii="仿宋_GB2312" w:hAnsi="仿宋_GB2312" w:eastAsia="仿宋_GB2312" w:cs="仿宋_GB2312"/>
          <w:color w:val="auto"/>
          <w:spacing w:val="-6"/>
          <w:sz w:val="32"/>
          <w:szCs w:val="32"/>
        </w:rPr>
        <w:t>。</w:t>
      </w:r>
    </w:p>
    <w:p w14:paraId="0FCBD3A2">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加强防腐防渗措施。按《报告表》要求进行相应的防腐防渗施工。</w:t>
      </w:r>
    </w:p>
    <w:p w14:paraId="385823B9">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（二）加强运营期环保设施管理，认真落实各项污染防治措施，确保满足相关要求。</w:t>
      </w:r>
    </w:p>
    <w:p w14:paraId="11B7C905">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严格落实大气污染防治措施</w:t>
      </w:r>
    </w:p>
    <w:p w14:paraId="366CA50D">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rPr>
        <w:t>（1）</w:t>
      </w:r>
      <w:r>
        <w:rPr>
          <w:rFonts w:hint="default" w:ascii="仿宋_GB2312" w:hAnsi="仿宋_GB2312" w:eastAsia="仿宋_GB2312" w:cs="仿宋_GB2312"/>
          <w:color w:val="auto"/>
          <w:spacing w:val="-6"/>
          <w:sz w:val="32"/>
          <w:szCs w:val="32"/>
          <w:lang w:eastAsia="zh-CN"/>
        </w:rPr>
        <w:t>有组织废气</w:t>
      </w:r>
    </w:p>
    <w:p w14:paraId="7EE3CA48">
      <w:pPr>
        <w:keepNext w:val="0"/>
        <w:keepLines w:val="0"/>
        <w:pageBreakBefore w:val="0"/>
        <w:widowControl w:val="0"/>
        <w:kinsoku/>
        <w:wordWrap/>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废油储罐呼吸阀连接废气、含挥发性有机物危废暂存区废气由管道引至一套现有“二级活性炭吸附装置”处理后，由现有1根15m高排气筒(DA002)排放。</w:t>
      </w:r>
    </w:p>
    <w:p w14:paraId="3592A94A">
      <w:pPr>
        <w:keepNext w:val="0"/>
        <w:keepLines w:val="0"/>
        <w:pageBreakBefore w:val="0"/>
        <w:widowControl w:val="0"/>
        <w:kinsoku/>
        <w:wordWrap/>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甲烷总烃须满足《工业企业挥发性有机物排放控制标准》（DB13/2322-2016）中表1标准要求，2026年10月1日起须满足《工业企业挥发性有机物排放控制标准》（DB13/2322-2025）中表1标准要求；臭气浓度须满足《恶臭污染物排放标准》（GB14554-93）中表2标准要求。</w:t>
      </w:r>
    </w:p>
    <w:p w14:paraId="30E35BBA">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w:t>
      </w:r>
      <w:r>
        <w:rPr>
          <w:rFonts w:hint="default"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lang w:val="en-US" w:eastAsia="zh-CN"/>
        </w:rPr>
        <w:t>）</w:t>
      </w:r>
      <w:r>
        <w:rPr>
          <w:rFonts w:hint="default" w:ascii="仿宋_GB2312" w:hAnsi="仿宋_GB2312" w:eastAsia="仿宋_GB2312" w:cs="仿宋_GB2312"/>
          <w:color w:val="auto"/>
          <w:spacing w:val="-6"/>
          <w:sz w:val="32"/>
          <w:szCs w:val="32"/>
          <w:lang w:val="en-US" w:eastAsia="zh-CN"/>
        </w:rPr>
        <w:t>无组织废气</w:t>
      </w:r>
    </w:p>
    <w:p w14:paraId="21B5EF77">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本项目采取</w:t>
      </w:r>
      <w:r>
        <w:rPr>
          <w:rFonts w:hint="eastAsia" w:ascii="仿宋_GB2312" w:hAnsi="仿宋_GB2312" w:eastAsia="仿宋_GB2312" w:cs="仿宋_GB2312"/>
          <w:sz w:val="32"/>
          <w:szCs w:val="32"/>
          <w:lang w:val="en-US" w:eastAsia="zh-CN"/>
        </w:rPr>
        <w:t>加强收集效率，车间密闭等措施</w:t>
      </w:r>
      <w:r>
        <w:rPr>
          <w:rFonts w:hint="eastAsia" w:ascii="仿宋_GB2312" w:hAnsi="仿宋_GB2312" w:eastAsia="仿宋_GB2312" w:cs="仿宋_GB2312"/>
          <w:color w:val="auto"/>
          <w:spacing w:val="-6"/>
          <w:sz w:val="32"/>
          <w:szCs w:val="32"/>
          <w:lang w:val="en-US" w:eastAsia="zh-CN"/>
        </w:rPr>
        <w:t>。</w:t>
      </w:r>
    </w:p>
    <w:p w14:paraId="5D3138AD">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eastAsia="zh-CN"/>
        </w:rPr>
      </w:pPr>
      <w:r>
        <w:rPr>
          <w:rFonts w:hint="default" w:ascii="仿宋_GB2312" w:hAnsi="仿宋_GB2312" w:eastAsia="仿宋_GB2312" w:cs="仿宋_GB2312"/>
          <w:color w:val="auto"/>
          <w:spacing w:val="-6"/>
          <w:sz w:val="32"/>
          <w:szCs w:val="32"/>
          <w:lang w:eastAsia="zh-CN"/>
        </w:rPr>
        <w:t>非甲烷总烃</w:t>
      </w:r>
      <w:r>
        <w:rPr>
          <w:rFonts w:hint="eastAsia" w:ascii="仿宋_GB2312" w:hAnsi="仿宋_GB2312" w:eastAsia="仿宋_GB2312" w:cs="仿宋_GB2312"/>
          <w:color w:val="auto"/>
          <w:spacing w:val="-6"/>
          <w:sz w:val="32"/>
          <w:szCs w:val="32"/>
          <w:lang w:eastAsia="zh-CN"/>
        </w:rPr>
        <w:t>须满足</w:t>
      </w:r>
      <w:r>
        <w:rPr>
          <w:rFonts w:hint="default" w:ascii="仿宋_GB2312" w:hAnsi="仿宋_GB2312" w:eastAsia="仿宋_GB2312" w:cs="仿宋_GB2312"/>
          <w:color w:val="auto"/>
          <w:spacing w:val="-6"/>
          <w:sz w:val="32"/>
          <w:szCs w:val="32"/>
          <w:lang w:eastAsia="zh-CN"/>
        </w:rPr>
        <w:t>《工业企业挥发性有机物排放控制标准》（DB13/2322-2016）中表2</w:t>
      </w:r>
      <w:r>
        <w:rPr>
          <w:rFonts w:hint="eastAsia" w:ascii="仿宋_GB2312" w:hAnsi="仿宋_GB2312" w:eastAsia="仿宋_GB2312" w:cs="仿宋_GB2312"/>
          <w:color w:val="auto"/>
          <w:spacing w:val="-6"/>
          <w:sz w:val="32"/>
          <w:szCs w:val="32"/>
          <w:lang w:eastAsia="zh-CN"/>
        </w:rPr>
        <w:t>标准要求</w:t>
      </w:r>
      <w:r>
        <w:rPr>
          <w:rFonts w:hint="default" w:ascii="仿宋_GB2312" w:hAnsi="仿宋_GB2312" w:eastAsia="仿宋_GB2312" w:cs="仿宋_GB2312"/>
          <w:color w:val="auto"/>
          <w:spacing w:val="-6"/>
          <w:sz w:val="32"/>
          <w:szCs w:val="32"/>
          <w:lang w:eastAsia="zh-CN"/>
        </w:rPr>
        <w:t>以及《挥发性有机物无组织排放控制标准》</w:t>
      </w:r>
      <w:r>
        <w:rPr>
          <w:rFonts w:hint="eastAsia" w:ascii="仿宋_GB2312" w:hAnsi="仿宋_GB2312" w:eastAsia="仿宋_GB2312" w:cs="仿宋_GB2312"/>
          <w:color w:val="auto"/>
          <w:spacing w:val="-6"/>
          <w:sz w:val="32"/>
          <w:szCs w:val="32"/>
          <w:lang w:eastAsia="zh-CN"/>
        </w:rPr>
        <w:t>要求</w:t>
      </w:r>
      <w:r>
        <w:rPr>
          <w:rFonts w:hint="default" w:ascii="仿宋_GB2312" w:hAnsi="仿宋_GB2312" w:eastAsia="仿宋_GB2312" w:cs="仿宋_GB2312"/>
          <w:color w:val="auto"/>
          <w:spacing w:val="-6"/>
          <w:sz w:val="32"/>
          <w:szCs w:val="32"/>
          <w:lang w:eastAsia="zh-CN"/>
        </w:rPr>
        <w:t>，2026年10月1日起</w:t>
      </w:r>
      <w:r>
        <w:rPr>
          <w:rFonts w:hint="eastAsia" w:ascii="仿宋_GB2312" w:hAnsi="仿宋_GB2312" w:eastAsia="仿宋_GB2312" w:cs="仿宋_GB2312"/>
          <w:color w:val="auto"/>
          <w:spacing w:val="-6"/>
          <w:sz w:val="32"/>
          <w:szCs w:val="32"/>
          <w:lang w:eastAsia="zh-CN"/>
        </w:rPr>
        <w:t>须满足</w:t>
      </w:r>
      <w:r>
        <w:rPr>
          <w:rFonts w:hint="default" w:ascii="仿宋_GB2312" w:hAnsi="仿宋_GB2312" w:eastAsia="仿宋_GB2312" w:cs="仿宋_GB2312"/>
          <w:color w:val="auto"/>
          <w:spacing w:val="-6"/>
          <w:sz w:val="32"/>
          <w:szCs w:val="32"/>
          <w:lang w:eastAsia="zh-CN"/>
        </w:rPr>
        <w:t>《工业企业挥发性有机物排放控制标准》（DB13/2322-2025）表2</w:t>
      </w:r>
      <w:r>
        <w:rPr>
          <w:rFonts w:hint="eastAsia" w:ascii="仿宋_GB2312" w:hAnsi="仿宋_GB2312" w:eastAsia="仿宋_GB2312" w:cs="仿宋_GB2312"/>
          <w:color w:val="auto"/>
          <w:spacing w:val="-6"/>
          <w:sz w:val="32"/>
          <w:szCs w:val="32"/>
          <w:lang w:eastAsia="zh-CN"/>
        </w:rPr>
        <w:t>标准要求</w:t>
      </w:r>
      <w:r>
        <w:rPr>
          <w:rFonts w:hint="default" w:ascii="仿宋_GB2312" w:hAnsi="仿宋_GB2312" w:eastAsia="仿宋_GB2312" w:cs="仿宋_GB2312"/>
          <w:color w:val="auto"/>
          <w:spacing w:val="-6"/>
          <w:sz w:val="32"/>
          <w:szCs w:val="32"/>
          <w:lang w:eastAsia="zh-CN"/>
        </w:rPr>
        <w:t>；臭气浓度</w:t>
      </w:r>
      <w:r>
        <w:rPr>
          <w:rFonts w:hint="eastAsia" w:ascii="仿宋_GB2312" w:hAnsi="仿宋_GB2312" w:eastAsia="仿宋_GB2312" w:cs="仿宋_GB2312"/>
          <w:color w:val="auto"/>
          <w:spacing w:val="-6"/>
          <w:sz w:val="32"/>
          <w:szCs w:val="32"/>
          <w:lang w:eastAsia="zh-CN"/>
        </w:rPr>
        <w:t>须满足</w:t>
      </w:r>
      <w:r>
        <w:rPr>
          <w:rFonts w:hint="default" w:ascii="仿宋_GB2312" w:hAnsi="仿宋_GB2312" w:eastAsia="仿宋_GB2312" w:cs="仿宋_GB2312"/>
          <w:color w:val="auto"/>
          <w:spacing w:val="-6"/>
          <w:sz w:val="32"/>
          <w:szCs w:val="32"/>
          <w:lang w:eastAsia="zh-CN"/>
        </w:rPr>
        <w:t>《恶臭污染物排放标准》（GB14554-93）中表1</w:t>
      </w:r>
      <w:r>
        <w:rPr>
          <w:rFonts w:hint="eastAsia" w:ascii="仿宋_GB2312" w:hAnsi="仿宋_GB2312" w:eastAsia="仿宋_GB2312" w:cs="仿宋_GB2312"/>
          <w:color w:val="auto"/>
          <w:spacing w:val="-6"/>
          <w:sz w:val="32"/>
          <w:szCs w:val="32"/>
          <w:lang w:eastAsia="zh-CN"/>
        </w:rPr>
        <w:t>标准要求</w:t>
      </w:r>
      <w:r>
        <w:rPr>
          <w:rFonts w:hint="default" w:ascii="仿宋_GB2312" w:hAnsi="仿宋_GB2312" w:eastAsia="仿宋_GB2312" w:cs="仿宋_GB2312"/>
          <w:color w:val="auto"/>
          <w:spacing w:val="-6"/>
          <w:sz w:val="32"/>
          <w:szCs w:val="32"/>
          <w:lang w:eastAsia="zh-CN"/>
        </w:rPr>
        <w:t>。</w:t>
      </w:r>
    </w:p>
    <w:p w14:paraId="1F83A964">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rPr>
        <w:t>2</w:t>
      </w:r>
      <w:r>
        <w:rPr>
          <w:rFonts w:hint="eastAsia" w:ascii="仿宋_GB2312" w:hAnsi="仿宋_GB2312" w:eastAsia="仿宋_GB2312" w:cs="仿宋_GB2312"/>
          <w:color w:val="auto"/>
          <w:spacing w:val="-6"/>
          <w:sz w:val="32"/>
          <w:szCs w:val="32"/>
          <w:lang w:eastAsia="zh-CN"/>
        </w:rPr>
        <w:t>本项目无新增废水产生。</w:t>
      </w:r>
    </w:p>
    <w:p w14:paraId="4DAED8C7">
      <w:pPr>
        <w:keepNext w:val="0"/>
        <w:keepLines w:val="0"/>
        <w:pageBreakBefore w:val="0"/>
        <w:widowControl w:val="0"/>
        <w:kinsoku/>
        <w:wordWrap/>
        <w:overflowPunct/>
        <w:topLinePunct w:val="0"/>
        <w:autoSpaceDE/>
        <w:autoSpaceDN/>
        <w:bidi w:val="0"/>
        <w:snapToGrid w:val="0"/>
        <w:spacing w:line="560" w:lineRule="exact"/>
        <w:ind w:right="0"/>
        <w:textAlignment w:val="auto"/>
        <w:rPr>
          <w:rFonts w:hint="eastAsia" w:ascii="仿宋_GB2312" w:hAnsi="仿宋_GB2312" w:eastAsia="仿宋_GB2312" w:cs="仿宋_GB2312"/>
          <w:color w:val="auto"/>
          <w:spacing w:val="-6"/>
          <w:sz w:val="32"/>
          <w:szCs w:val="32"/>
        </w:rPr>
      </w:pPr>
      <w:r>
        <w:rPr>
          <w:rFonts w:hint="default" w:ascii="仿宋_GB2312" w:hAnsi="仿宋_GB2312" w:eastAsia="仿宋_GB2312" w:cs="仿宋_GB2312"/>
          <w:kern w:val="2"/>
          <w:sz w:val="32"/>
          <w:szCs w:val="32"/>
          <w:highlight w:val="none"/>
          <w:lang w:eastAsia="zh-CN" w:bidi="ar-SA"/>
        </w:rPr>
        <w:t xml:space="preserve">    </w:t>
      </w:r>
      <w:r>
        <w:rPr>
          <w:rFonts w:hint="eastAsia" w:ascii="仿宋_GB2312" w:hAnsi="仿宋_GB2312" w:eastAsia="仿宋_GB2312" w:cs="仿宋_GB2312"/>
          <w:kern w:val="2"/>
          <w:sz w:val="32"/>
          <w:szCs w:val="32"/>
          <w:highlight w:val="none"/>
          <w:lang w:val="en-US" w:eastAsia="zh-CN" w:bidi="ar-SA"/>
        </w:rPr>
        <w:t>3.严格落实噪声污染防治</w:t>
      </w:r>
      <w:r>
        <w:rPr>
          <w:rFonts w:hint="eastAsia" w:ascii="仿宋_GB2312" w:hAnsi="仿宋_GB2312" w:eastAsia="仿宋_GB2312" w:cs="仿宋_GB2312"/>
          <w:color w:val="auto"/>
          <w:spacing w:val="-6"/>
          <w:sz w:val="32"/>
          <w:szCs w:val="32"/>
        </w:rPr>
        <w:t>措施</w:t>
      </w:r>
    </w:p>
    <w:p w14:paraId="1F609EC7">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采取各项降噪措施，严格控制生产过程产生的噪声对周围环境的影响。项目</w:t>
      </w:r>
      <w:r>
        <w:rPr>
          <w:rFonts w:hint="eastAsia" w:ascii="仿宋_GB2312" w:hAnsi="仿宋_GB2312" w:eastAsia="仿宋_GB2312" w:cs="仿宋_GB2312"/>
          <w:color w:val="auto"/>
          <w:spacing w:val="-6"/>
          <w:sz w:val="32"/>
          <w:szCs w:val="32"/>
          <w:lang w:eastAsia="zh-CN"/>
        </w:rPr>
        <w:t>采</w:t>
      </w:r>
      <w:r>
        <w:rPr>
          <w:rFonts w:hint="eastAsia" w:ascii="仿宋_GB2312" w:hAnsi="仿宋_GB2312" w:eastAsia="仿宋_GB2312" w:cs="仿宋_GB2312"/>
          <w:color w:val="auto"/>
          <w:spacing w:val="-6"/>
          <w:sz w:val="32"/>
          <w:szCs w:val="32"/>
        </w:rPr>
        <w:t>用基础减振、厂房隔声等措施，项目实施后厂界噪声须满足《工业企业厂界环境噪声排放标准》（GB12348-2008）</w:t>
      </w:r>
      <w:r>
        <w:rPr>
          <w:rFonts w:hint="eastAsia" w:ascii="仿宋_GB2312" w:hAnsi="仿宋_GB2312" w:eastAsia="仿宋_GB2312" w:cs="仿宋_GB2312"/>
          <w:color w:val="auto"/>
          <w:spacing w:val="-6"/>
          <w:sz w:val="32"/>
          <w:szCs w:val="32"/>
          <w:lang w:val="en-US" w:eastAsia="zh-CN"/>
        </w:rPr>
        <w:t>3类</w:t>
      </w:r>
      <w:r>
        <w:rPr>
          <w:rFonts w:hint="eastAsia" w:ascii="仿宋_GB2312" w:hAnsi="仿宋_GB2312" w:eastAsia="仿宋_GB2312" w:cs="仿宋_GB2312"/>
          <w:color w:val="auto"/>
          <w:spacing w:val="-6"/>
          <w:sz w:val="32"/>
          <w:szCs w:val="32"/>
        </w:rPr>
        <w:t>标准限值要求。</w:t>
      </w:r>
    </w:p>
    <w:p w14:paraId="61E47B8C">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4.严格落实固体废物污染防治措施</w:t>
      </w:r>
    </w:p>
    <w:p w14:paraId="0A047BF0">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rPr>
        <w:t>企业要严格落实固体废物分类处置和综合利用措施，认真落实《报告表》规定的固体废物处理、处置措施。按照“资源化、减量化、无害化”的固废处置原则，实现综合利用。项目产生的</w:t>
      </w:r>
      <w:r>
        <w:rPr>
          <w:rFonts w:hint="eastAsia" w:ascii="仿宋_GB2312" w:hAnsi="仿宋_GB2312" w:eastAsia="仿宋_GB2312" w:cs="仿宋_GB2312"/>
          <w:color w:val="auto"/>
          <w:spacing w:val="-6"/>
          <w:sz w:val="32"/>
          <w:szCs w:val="32"/>
          <w:lang w:eastAsia="zh-CN"/>
        </w:rPr>
        <w:t>危险</w:t>
      </w:r>
      <w:r>
        <w:rPr>
          <w:rFonts w:hint="eastAsia" w:ascii="仿宋_GB2312" w:hAnsi="仿宋_GB2312" w:eastAsia="仿宋_GB2312" w:cs="仿宋_GB2312"/>
          <w:color w:val="auto"/>
          <w:spacing w:val="-6"/>
          <w:sz w:val="32"/>
          <w:szCs w:val="32"/>
        </w:rPr>
        <w:t>废物主要为</w:t>
      </w:r>
      <w:r>
        <w:rPr>
          <w:rFonts w:hint="eastAsia" w:ascii="仿宋_GB2312" w:hAnsi="仿宋_GB2312" w:eastAsia="仿宋_GB2312" w:cs="仿宋_GB2312"/>
          <w:sz w:val="32"/>
          <w:szCs w:val="32"/>
          <w:lang w:val="en-US" w:eastAsia="zh-CN"/>
        </w:rPr>
        <w:t>废劳保用品（沾染油品）、外包装物、泄漏、遗撒的废液、废气处理设施产生的废活性炭</w:t>
      </w:r>
      <w:r>
        <w:rPr>
          <w:rFonts w:hint="eastAsia" w:ascii="仿宋_GB2312" w:hAnsi="仿宋_GB2312" w:eastAsia="仿宋_GB2312" w:cs="仿宋_GB2312"/>
          <w:color w:val="auto"/>
          <w:spacing w:val="-6"/>
          <w:sz w:val="32"/>
          <w:szCs w:val="32"/>
          <w:lang w:val="en-US" w:eastAsia="zh-CN"/>
        </w:rPr>
        <w:t>，于项目内对应类别区域暂存，定期交有资质单位处置。</w:t>
      </w:r>
    </w:p>
    <w:p w14:paraId="5573474F">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项目产生的危险废物及危险废物暂存库须满足《危险废物贮存污染控制标准》(GB18597-20</w:t>
      </w:r>
      <w:r>
        <w:rPr>
          <w:rFonts w:hint="default" w:ascii="仿宋_GB2312" w:hAnsi="仿宋_GB2312" w:eastAsia="仿宋_GB2312" w:cs="仿宋_GB2312"/>
          <w:color w:val="auto"/>
          <w:spacing w:val="-6"/>
          <w:sz w:val="32"/>
          <w:szCs w:val="32"/>
        </w:rPr>
        <w:t>23</w:t>
      </w:r>
      <w:r>
        <w:rPr>
          <w:rFonts w:hint="eastAsia" w:ascii="仿宋_GB2312" w:hAnsi="仿宋_GB2312" w:eastAsia="仿宋_GB2312" w:cs="仿宋_GB2312"/>
          <w:color w:val="auto"/>
          <w:spacing w:val="-6"/>
          <w:sz w:val="32"/>
          <w:szCs w:val="32"/>
        </w:rPr>
        <w:t>)要求。</w:t>
      </w:r>
    </w:p>
    <w:p w14:paraId="3C3135C7">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认真</w:t>
      </w:r>
      <w:r>
        <w:rPr>
          <w:rFonts w:hint="eastAsia" w:ascii="仿宋_GB2312" w:hAnsi="仿宋_GB2312" w:eastAsia="仿宋_GB2312" w:cs="仿宋_GB2312"/>
          <w:sz w:val="32"/>
          <w:szCs w:val="32"/>
        </w:rPr>
        <w:t>落实《报告表》其他环境管理要求。</w:t>
      </w:r>
    </w:p>
    <w:p w14:paraId="4ADC043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三、</w:t>
      </w:r>
      <w:r>
        <w:rPr>
          <w:rFonts w:hint="eastAsia" w:ascii="仿宋_GB2312" w:hAnsi="仿宋_GB2312" w:eastAsia="仿宋_GB2312" w:cs="仿宋_GB2312"/>
          <w:spacing w:val="-6"/>
          <w:sz w:val="32"/>
          <w:szCs w:val="32"/>
        </w:rPr>
        <w:t>强化环境风险防范和应急措施。制订完善的环境管理、风险管理措施，设施配备齐全，加强相关人员培训</w:t>
      </w:r>
      <w:r>
        <w:rPr>
          <w:rFonts w:hint="eastAsia" w:ascii="仿宋_GB2312" w:hAnsi="仿宋_GB2312" w:eastAsia="仿宋_GB2312" w:cs="仿宋_GB2312"/>
          <w:color w:val="000000"/>
          <w:kern w:val="0"/>
          <w:sz w:val="32"/>
          <w:szCs w:val="32"/>
        </w:rPr>
        <w:t>。加强风险源管控，严格落实《报告表》中环境风险防范措施，</w:t>
      </w:r>
      <w:r>
        <w:rPr>
          <w:rFonts w:hint="eastAsia" w:ascii="仿宋_GB2312" w:hAnsi="仿宋_GB2312" w:eastAsia="仿宋_GB2312" w:cs="仿宋_GB2312"/>
          <w:color w:val="000000"/>
          <w:kern w:val="0"/>
          <w:sz w:val="32"/>
          <w:szCs w:val="32"/>
          <w:lang w:eastAsia="zh-CN"/>
        </w:rPr>
        <w:t>落实</w:t>
      </w:r>
      <w:r>
        <w:rPr>
          <w:rFonts w:hint="eastAsia" w:ascii="仿宋_GB2312" w:hAnsi="仿宋_GB2312" w:eastAsia="仿宋_GB2312" w:cs="仿宋_GB2312"/>
          <w:color w:val="000000"/>
          <w:kern w:val="0"/>
          <w:sz w:val="32"/>
          <w:szCs w:val="32"/>
        </w:rPr>
        <w:t>突发环境事件应急</w:t>
      </w:r>
      <w:r>
        <w:rPr>
          <w:rFonts w:hint="default" w:ascii="仿宋_GB2312" w:hAnsi="仿宋_GB2312" w:eastAsia="仿宋_GB2312" w:cs="仿宋_GB2312"/>
          <w:color w:val="000000"/>
          <w:kern w:val="0"/>
          <w:sz w:val="32"/>
          <w:szCs w:val="32"/>
        </w:rPr>
        <w:t>相关</w:t>
      </w:r>
      <w:r>
        <w:rPr>
          <w:rFonts w:hint="eastAsia" w:ascii="仿宋_GB2312" w:hAnsi="仿宋_GB2312" w:eastAsia="仿宋_GB2312" w:cs="仿宋_GB2312"/>
          <w:color w:val="000000"/>
          <w:kern w:val="0"/>
          <w:sz w:val="32"/>
          <w:szCs w:val="32"/>
          <w:lang w:eastAsia="zh-CN"/>
        </w:rPr>
        <w:t>要求</w:t>
      </w:r>
      <w:r>
        <w:rPr>
          <w:rFonts w:hint="eastAsia" w:ascii="仿宋_GB2312" w:hAnsi="仿宋_GB2312" w:eastAsia="仿宋_GB2312" w:cs="仿宋_GB2312"/>
          <w:color w:val="000000"/>
          <w:kern w:val="0"/>
          <w:sz w:val="32"/>
          <w:szCs w:val="32"/>
        </w:rPr>
        <w:t>，并与当地政府及相关部门应急预案做好衔接，定期进行应急培训和</w:t>
      </w:r>
      <w:r>
        <w:rPr>
          <w:rFonts w:hint="eastAsia" w:ascii="仿宋_GB2312" w:hAnsi="仿宋_GB2312" w:eastAsia="仿宋_GB2312" w:cs="仿宋_GB2312"/>
          <w:spacing w:val="-6"/>
          <w:sz w:val="32"/>
          <w:szCs w:val="32"/>
        </w:rPr>
        <w:t>演练，有效防范和应对环境风险。</w:t>
      </w:r>
    </w:p>
    <w:p w14:paraId="3592FA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 xml:space="preserve">认真落实《报告表》中规定的污染防治措施及清洁生产措施，项目实施后，企业须按照国家排污许可有关管理规定及时办理排污许可证。 </w:t>
      </w:r>
    </w:p>
    <w:p w14:paraId="1CA4326F">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spacing w:val="-6"/>
          <w:sz w:val="32"/>
          <w:szCs w:val="32"/>
        </w:rPr>
        <w:t>在项目运营过程中，应建立畅通的公众参与平台，及时解决公众关注的环境问题，满足公众合理的环境诉求。定期发布企业环境信息，主动接受社会监督。</w:t>
      </w:r>
    </w:p>
    <w:p w14:paraId="1EB06BED">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w:t>
      </w:r>
      <w:r>
        <w:rPr>
          <w:rFonts w:hint="eastAsia" w:ascii="仿宋_GB2312" w:hAnsi="仿宋_GB2312" w:eastAsia="仿宋_GB2312" w:cs="仿宋_GB2312"/>
          <w:color w:val="000000"/>
          <w:sz w:val="32"/>
          <w:szCs w:val="32"/>
          <w:shd w:val="clear" w:color="auto" w:fill="FFFFFF"/>
        </w:rPr>
        <w:t>进一步强化污染源管理工作。按照国家和地方有关规定，建设规范的污染物排放口，设立标志牌</w:t>
      </w:r>
      <w:r>
        <w:rPr>
          <w:rFonts w:hint="eastAsia" w:ascii="仿宋_GB2312" w:hAnsi="仿宋_GB2312" w:eastAsia="仿宋_GB2312" w:cs="仿宋_GB2312"/>
          <w:spacing w:val="-6"/>
          <w:sz w:val="32"/>
          <w:szCs w:val="32"/>
        </w:rPr>
        <w:t>。</w:t>
      </w:r>
      <w:r>
        <w:rPr>
          <w:rFonts w:hint="eastAsia" w:ascii="仿宋_GB2312" w:hAnsi="仿宋_GB2312" w:eastAsia="仿宋_GB2312" w:cs="仿宋_GB2312"/>
          <w:color w:val="000000"/>
          <w:sz w:val="32"/>
          <w:szCs w:val="32"/>
          <w:shd w:val="clear" w:color="auto" w:fill="FFFFFF"/>
        </w:rPr>
        <w:t>对《报告表》要求的监测内容定期开展监测，企业应按照环境监测管理规定和技术规范的要求，设计、建设、维护永久性采样口、采样测试平台。</w:t>
      </w:r>
    </w:p>
    <w:p w14:paraId="71478F7C">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七、本项目建设必须严格执行配套建设的环境保护设施与主体工程同时设计、同时施工、同时投产使用的环境保护“三同时”制度。项目竣工后，按规定开展竣工环境保护验收。验收合格后，项目方可正式投入生产，</w:t>
      </w:r>
      <w:r>
        <w:rPr>
          <w:rFonts w:hint="eastAsia" w:ascii="仿宋_GB2312" w:hAnsi="仿宋_GB2312" w:eastAsia="仿宋_GB2312" w:cs="仿宋_GB2312"/>
          <w:sz w:val="32"/>
          <w:szCs w:val="32"/>
        </w:rPr>
        <w:t>未经验收或者验收不合格的，不得投入生产或者使用</w:t>
      </w:r>
      <w:r>
        <w:rPr>
          <w:rFonts w:hint="eastAsia" w:ascii="仿宋_GB2312" w:hAnsi="仿宋_GB2312" w:eastAsia="仿宋_GB2312" w:cs="仿宋_GB2312"/>
          <w:spacing w:val="-6"/>
          <w:sz w:val="32"/>
          <w:szCs w:val="32"/>
        </w:rPr>
        <w:t>。本项目环境影响评价文件经批准后，如设计和施工变化造成工程性质、规模、工艺、防治污染的措施发生重大变动的，应当在调整前重新报批本项目环境影响评价文件。</w:t>
      </w:r>
      <w:r>
        <w:rPr>
          <w:rFonts w:hint="eastAsia" w:ascii="仿宋_GB2312" w:hAnsi="仿宋_GB2312" w:eastAsia="仿宋_GB2312" w:cs="仿宋_GB2312"/>
          <w:sz w:val="32"/>
          <w:szCs w:val="32"/>
        </w:rPr>
        <w:t>工程自批复之日起五年后方决定开工建设的，需将环评文件报我局重新审核。</w:t>
      </w:r>
    </w:p>
    <w:p w14:paraId="39595A8A">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八、你单位在接到本批复后的10个工作日内，须将环评报告表及其批复送秦皇岛市生态环境局</w:t>
      </w:r>
      <w:r>
        <w:rPr>
          <w:rFonts w:hint="eastAsia" w:ascii="仿宋_GB2312" w:hAnsi="仿宋_GB2312" w:eastAsia="仿宋_GB2312" w:cs="仿宋_GB2312"/>
          <w:spacing w:val="-6"/>
          <w:sz w:val="32"/>
          <w:szCs w:val="32"/>
          <w:lang w:eastAsia="zh-CN"/>
        </w:rPr>
        <w:t>经济技术开发区分局</w:t>
      </w:r>
      <w:r>
        <w:rPr>
          <w:rFonts w:hint="eastAsia" w:ascii="仿宋_GB2312" w:hAnsi="仿宋_GB2312" w:eastAsia="仿宋_GB2312" w:cs="仿宋_GB2312"/>
          <w:spacing w:val="-6"/>
          <w:sz w:val="32"/>
          <w:szCs w:val="32"/>
        </w:rPr>
        <w:t>等相关部门，日常监督管理由秦皇岛市生态环境局</w:t>
      </w:r>
      <w:r>
        <w:rPr>
          <w:rFonts w:hint="eastAsia" w:ascii="仿宋_GB2312" w:hAnsi="仿宋_GB2312" w:eastAsia="仿宋_GB2312" w:cs="仿宋_GB2312"/>
          <w:spacing w:val="-6"/>
          <w:sz w:val="32"/>
          <w:szCs w:val="32"/>
          <w:lang w:eastAsia="zh-CN"/>
        </w:rPr>
        <w:t>经济技术开发区分局</w:t>
      </w:r>
      <w:r>
        <w:rPr>
          <w:rFonts w:hint="eastAsia" w:ascii="仿宋_GB2312" w:hAnsi="仿宋_GB2312" w:eastAsia="仿宋_GB2312" w:cs="仿宋_GB2312"/>
          <w:spacing w:val="-6"/>
          <w:sz w:val="32"/>
          <w:szCs w:val="32"/>
        </w:rPr>
        <w:t>负责。建设单位须定期向秦皇岛市生态环境局</w:t>
      </w:r>
      <w:r>
        <w:rPr>
          <w:rFonts w:hint="eastAsia" w:ascii="仿宋_GB2312" w:hAnsi="仿宋_GB2312" w:eastAsia="仿宋_GB2312" w:cs="仿宋_GB2312"/>
          <w:spacing w:val="-6"/>
          <w:sz w:val="32"/>
          <w:szCs w:val="32"/>
          <w:lang w:eastAsia="zh-CN"/>
        </w:rPr>
        <w:t>经济技术开发区分局</w:t>
      </w:r>
      <w:r>
        <w:rPr>
          <w:rFonts w:hint="eastAsia" w:ascii="仿宋_GB2312" w:hAnsi="仿宋_GB2312" w:eastAsia="仿宋_GB2312" w:cs="仿宋_GB2312"/>
          <w:spacing w:val="-6"/>
          <w:sz w:val="32"/>
          <w:szCs w:val="32"/>
        </w:rPr>
        <w:t xml:space="preserve">报告“三同时”完成情况。并按规定接受各级生态环境行政主管部门的日常监督检查。 </w:t>
      </w:r>
    </w:p>
    <w:p w14:paraId="3EA8EEDE">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auto"/>
        <w:rPr>
          <w:rFonts w:hint="eastAsia" w:ascii="仿宋_GB2312" w:hAnsi="仿宋_GB2312" w:eastAsia="仿宋_GB2312" w:cs="仿宋_GB2312"/>
          <w:spacing w:val="-6"/>
          <w:sz w:val="32"/>
          <w:szCs w:val="32"/>
        </w:rPr>
      </w:pPr>
    </w:p>
    <w:p w14:paraId="08A2D364">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w:t>
      </w:r>
    </w:p>
    <w:p w14:paraId="335D2B20">
      <w:pPr>
        <w:keepNext w:val="0"/>
        <w:keepLines w:val="0"/>
        <w:pageBreakBefore w:val="0"/>
        <w:widowControl w:val="0"/>
        <w:kinsoku/>
        <w:wordWrap w:val="0"/>
        <w:overflowPunct/>
        <w:topLinePunct w:val="0"/>
        <w:autoSpaceDE/>
        <w:autoSpaceDN/>
        <w:bidi w:val="0"/>
        <w:adjustRightInd w:val="0"/>
        <w:snapToGrid w:val="0"/>
        <w:spacing w:line="560" w:lineRule="exact"/>
        <w:ind w:left="0" w:right="0"/>
        <w:jc w:val="righ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 xml:space="preserve">  秦皇岛市行政审批局</w:t>
      </w:r>
      <w:r>
        <w:rPr>
          <w:rFonts w:hint="eastAsia" w:ascii="仿宋_GB2312" w:hAnsi="仿宋_GB2312" w:eastAsia="仿宋_GB2312" w:cs="仿宋_GB2312"/>
          <w:spacing w:val="-6"/>
          <w:sz w:val="32"/>
          <w:szCs w:val="32"/>
          <w:lang w:val="en-US" w:eastAsia="zh-CN"/>
        </w:rPr>
        <w:t xml:space="preserve">        </w:t>
      </w:r>
    </w:p>
    <w:p w14:paraId="216378D6">
      <w:pPr>
        <w:keepNext w:val="0"/>
        <w:keepLines w:val="0"/>
        <w:pageBreakBefore w:val="0"/>
        <w:widowControl w:val="0"/>
        <w:kinsoku/>
        <w:wordWrap w:val="0"/>
        <w:overflowPunct/>
        <w:topLinePunct w:val="0"/>
        <w:autoSpaceDE/>
        <w:autoSpaceDN/>
        <w:bidi w:val="0"/>
        <w:adjustRightInd w:val="0"/>
        <w:snapToGrid w:val="0"/>
        <w:spacing w:line="560" w:lineRule="exact"/>
        <w:ind w:left="0" w:right="0"/>
        <w:jc w:val="right"/>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eastAsia="zh-CN"/>
        </w:rPr>
        <w:t>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10</w:t>
      </w:r>
      <w:r>
        <w:rPr>
          <w:rFonts w:hint="eastAsia" w:ascii="仿宋_GB2312" w:hAnsi="仿宋_GB2312" w:eastAsia="仿宋_GB2312" w:cs="仿宋_GB2312"/>
          <w:color w:val="auto"/>
          <w:spacing w:val="-6"/>
          <w:sz w:val="32"/>
          <w:szCs w:val="32"/>
        </w:rPr>
        <w:t>月</w:t>
      </w:r>
      <w:r>
        <w:rPr>
          <w:rFonts w:hint="eastAsia" w:ascii="仿宋_GB2312" w:hAnsi="仿宋_GB2312" w:eastAsia="仿宋_GB2312" w:cs="仿宋_GB2312"/>
          <w:color w:val="auto"/>
          <w:spacing w:val="-6"/>
          <w:sz w:val="32"/>
          <w:szCs w:val="32"/>
          <w:lang w:val="en-US" w:eastAsia="zh-CN"/>
        </w:rPr>
        <w:t>14</w:t>
      </w:r>
      <w:r>
        <w:rPr>
          <w:rFonts w:hint="eastAsia" w:ascii="仿宋_GB2312" w:hAnsi="仿宋_GB2312" w:eastAsia="仿宋_GB2312" w:cs="仿宋_GB2312"/>
          <w:spacing w:val="-6"/>
          <w:sz w:val="32"/>
          <w:szCs w:val="32"/>
        </w:rPr>
        <w:t>日</w:t>
      </w:r>
      <w:r>
        <w:rPr>
          <w:rFonts w:hint="eastAsia" w:ascii="仿宋_GB2312" w:hAnsi="仿宋_GB2312" w:eastAsia="仿宋_GB2312" w:cs="仿宋_GB2312"/>
          <w:spacing w:val="-6"/>
          <w:sz w:val="32"/>
          <w:szCs w:val="32"/>
          <w:lang w:val="en-US" w:eastAsia="zh-CN"/>
        </w:rPr>
        <w:t xml:space="preserve">         </w:t>
      </w:r>
    </w:p>
    <w:p w14:paraId="779D9994">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hint="eastAsia" w:ascii="仿宋_GB2312" w:hAnsi="仿宋_GB2312" w:eastAsia="仿宋_GB2312" w:cs="仿宋_GB2312"/>
          <w:sz w:val="32"/>
          <w:szCs w:val="32"/>
        </w:rPr>
      </w:pPr>
    </w:p>
    <w:p w14:paraId="3A112DEF">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hint="eastAsia" w:ascii="仿宋_GB2312" w:hAnsi="仿宋_GB2312" w:eastAsia="仿宋_GB2312" w:cs="仿宋_GB2312"/>
          <w:sz w:val="32"/>
          <w:szCs w:val="32"/>
        </w:rPr>
      </w:pPr>
    </w:p>
    <w:sectPr>
      <w:footerReference r:id="rId3" w:type="default"/>
      <w:pgSz w:w="11906" w:h="16838"/>
      <w:pgMar w:top="2098"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AB9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202DF">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9202DF">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YmQwZDlkNmViYjQ2ZmZiMDlmZTkwZjUyNWZlNjAifQ=="/>
  </w:docVars>
  <w:rsids>
    <w:rsidRoot w:val="00534647"/>
    <w:rsid w:val="001A64C4"/>
    <w:rsid w:val="001D5FB4"/>
    <w:rsid w:val="00534647"/>
    <w:rsid w:val="006F6E45"/>
    <w:rsid w:val="007E0A00"/>
    <w:rsid w:val="00ED3BD8"/>
    <w:rsid w:val="00FF0D8C"/>
    <w:rsid w:val="01D628BE"/>
    <w:rsid w:val="02533DCA"/>
    <w:rsid w:val="026C13BF"/>
    <w:rsid w:val="047D0429"/>
    <w:rsid w:val="049F51EA"/>
    <w:rsid w:val="05070CB7"/>
    <w:rsid w:val="05F4418C"/>
    <w:rsid w:val="069145C1"/>
    <w:rsid w:val="08251D3B"/>
    <w:rsid w:val="082C51BD"/>
    <w:rsid w:val="09A74B9B"/>
    <w:rsid w:val="09DD006C"/>
    <w:rsid w:val="0A7C0FBB"/>
    <w:rsid w:val="0AA6765B"/>
    <w:rsid w:val="0AF97CC1"/>
    <w:rsid w:val="0C240EFB"/>
    <w:rsid w:val="0C9E3111"/>
    <w:rsid w:val="0CF74903"/>
    <w:rsid w:val="0DB60FD4"/>
    <w:rsid w:val="0E23319F"/>
    <w:rsid w:val="0E236322"/>
    <w:rsid w:val="0E423DBB"/>
    <w:rsid w:val="0E477FDC"/>
    <w:rsid w:val="0E52277A"/>
    <w:rsid w:val="0E544884"/>
    <w:rsid w:val="0E9A6529"/>
    <w:rsid w:val="0EF16B1E"/>
    <w:rsid w:val="0F12721D"/>
    <w:rsid w:val="0F243ABA"/>
    <w:rsid w:val="0F4E7F38"/>
    <w:rsid w:val="0FD75461"/>
    <w:rsid w:val="11047D69"/>
    <w:rsid w:val="116A6B7F"/>
    <w:rsid w:val="11891052"/>
    <w:rsid w:val="11B64EE8"/>
    <w:rsid w:val="11DF3773"/>
    <w:rsid w:val="12B56FA8"/>
    <w:rsid w:val="134F78C3"/>
    <w:rsid w:val="15FFA5B8"/>
    <w:rsid w:val="16B259FD"/>
    <w:rsid w:val="16FE7E29"/>
    <w:rsid w:val="16FFAFAE"/>
    <w:rsid w:val="17B00A83"/>
    <w:rsid w:val="18EDE22F"/>
    <w:rsid w:val="19807918"/>
    <w:rsid w:val="19C76AA2"/>
    <w:rsid w:val="1A0C2EC9"/>
    <w:rsid w:val="1A34036B"/>
    <w:rsid w:val="1ABB2361"/>
    <w:rsid w:val="1B6F1962"/>
    <w:rsid w:val="1BE5119A"/>
    <w:rsid w:val="1DB05E93"/>
    <w:rsid w:val="1DE2526D"/>
    <w:rsid w:val="1EBB4A4B"/>
    <w:rsid w:val="1EE917E9"/>
    <w:rsid w:val="1F9A3113"/>
    <w:rsid w:val="1FB32933"/>
    <w:rsid w:val="1FFD7A61"/>
    <w:rsid w:val="211E5769"/>
    <w:rsid w:val="212033CF"/>
    <w:rsid w:val="213E1E2E"/>
    <w:rsid w:val="21487774"/>
    <w:rsid w:val="220B1CB9"/>
    <w:rsid w:val="22186EB3"/>
    <w:rsid w:val="22712A2C"/>
    <w:rsid w:val="23637A73"/>
    <w:rsid w:val="23E0603F"/>
    <w:rsid w:val="23F41535"/>
    <w:rsid w:val="24333E8B"/>
    <w:rsid w:val="24496731"/>
    <w:rsid w:val="24822F7E"/>
    <w:rsid w:val="24E07A09"/>
    <w:rsid w:val="253245CF"/>
    <w:rsid w:val="25481967"/>
    <w:rsid w:val="25913DA1"/>
    <w:rsid w:val="26372BA9"/>
    <w:rsid w:val="26452102"/>
    <w:rsid w:val="268C5900"/>
    <w:rsid w:val="26D3084E"/>
    <w:rsid w:val="26D853C8"/>
    <w:rsid w:val="26DA5337"/>
    <w:rsid w:val="277B343D"/>
    <w:rsid w:val="284F12A1"/>
    <w:rsid w:val="290C1FD9"/>
    <w:rsid w:val="2A6A527B"/>
    <w:rsid w:val="2A6E5785"/>
    <w:rsid w:val="2A720FDA"/>
    <w:rsid w:val="2B35714B"/>
    <w:rsid w:val="2B651583"/>
    <w:rsid w:val="2B982842"/>
    <w:rsid w:val="2BA73E61"/>
    <w:rsid w:val="2BAFC89E"/>
    <w:rsid w:val="2BCB4FD1"/>
    <w:rsid w:val="2CAF5097"/>
    <w:rsid w:val="2CDB74AF"/>
    <w:rsid w:val="2CEC5C32"/>
    <w:rsid w:val="2CED5224"/>
    <w:rsid w:val="2DAF126F"/>
    <w:rsid w:val="2E290EE4"/>
    <w:rsid w:val="2E7C66DE"/>
    <w:rsid w:val="2F3B7A37"/>
    <w:rsid w:val="31061FC9"/>
    <w:rsid w:val="31327A6C"/>
    <w:rsid w:val="313D44EF"/>
    <w:rsid w:val="317A4765"/>
    <w:rsid w:val="31A86955"/>
    <w:rsid w:val="31AF3D3F"/>
    <w:rsid w:val="328D0DB0"/>
    <w:rsid w:val="33135D31"/>
    <w:rsid w:val="335C6818"/>
    <w:rsid w:val="336EA4DC"/>
    <w:rsid w:val="33824DF5"/>
    <w:rsid w:val="34185F28"/>
    <w:rsid w:val="344158C2"/>
    <w:rsid w:val="347C50C9"/>
    <w:rsid w:val="348B41CA"/>
    <w:rsid w:val="35531E0D"/>
    <w:rsid w:val="357B4603"/>
    <w:rsid w:val="35AB75E3"/>
    <w:rsid w:val="35D70A87"/>
    <w:rsid w:val="36644422"/>
    <w:rsid w:val="374D153F"/>
    <w:rsid w:val="37F9E04E"/>
    <w:rsid w:val="38807677"/>
    <w:rsid w:val="38ED4A8D"/>
    <w:rsid w:val="39D74A49"/>
    <w:rsid w:val="3A0831CA"/>
    <w:rsid w:val="3A5A3B4E"/>
    <w:rsid w:val="3BBF2232"/>
    <w:rsid w:val="3BF2360E"/>
    <w:rsid w:val="3BFF7C85"/>
    <w:rsid w:val="3C4F8EC4"/>
    <w:rsid w:val="3C624B38"/>
    <w:rsid w:val="3C8DE232"/>
    <w:rsid w:val="3D412847"/>
    <w:rsid w:val="3D4E0F7F"/>
    <w:rsid w:val="3D5B4C61"/>
    <w:rsid w:val="3D620756"/>
    <w:rsid w:val="3D715C36"/>
    <w:rsid w:val="3D95C1D4"/>
    <w:rsid w:val="3DEB59B9"/>
    <w:rsid w:val="3DFFC262"/>
    <w:rsid w:val="3EBB9D42"/>
    <w:rsid w:val="3EDA434E"/>
    <w:rsid w:val="3EFF450E"/>
    <w:rsid w:val="3F7FC6D0"/>
    <w:rsid w:val="3FBDC1CC"/>
    <w:rsid w:val="3FC755E4"/>
    <w:rsid w:val="402537B3"/>
    <w:rsid w:val="40E5668D"/>
    <w:rsid w:val="413B7A6D"/>
    <w:rsid w:val="414D77A0"/>
    <w:rsid w:val="415E6EB8"/>
    <w:rsid w:val="437B0F37"/>
    <w:rsid w:val="43A144D7"/>
    <w:rsid w:val="441F65D2"/>
    <w:rsid w:val="45ED32A4"/>
    <w:rsid w:val="45FC4AF3"/>
    <w:rsid w:val="462F55E2"/>
    <w:rsid w:val="46F770C6"/>
    <w:rsid w:val="47AC3472"/>
    <w:rsid w:val="47F0551D"/>
    <w:rsid w:val="485909E1"/>
    <w:rsid w:val="495443BF"/>
    <w:rsid w:val="4961192A"/>
    <w:rsid w:val="497A7BA2"/>
    <w:rsid w:val="4A0805EA"/>
    <w:rsid w:val="4A9B0782"/>
    <w:rsid w:val="4AB62107"/>
    <w:rsid w:val="4AFCFE52"/>
    <w:rsid w:val="4B4355E5"/>
    <w:rsid w:val="4B514EDA"/>
    <w:rsid w:val="4B765E80"/>
    <w:rsid w:val="4BDC1E4C"/>
    <w:rsid w:val="4C767AF2"/>
    <w:rsid w:val="4C8229F4"/>
    <w:rsid w:val="4D010EEB"/>
    <w:rsid w:val="4E005194"/>
    <w:rsid w:val="4F1B43CA"/>
    <w:rsid w:val="4F4A365C"/>
    <w:rsid w:val="4F7505EE"/>
    <w:rsid w:val="4FBF9426"/>
    <w:rsid w:val="4FC43655"/>
    <w:rsid w:val="4FD729F9"/>
    <w:rsid w:val="51F46A5E"/>
    <w:rsid w:val="52500E9E"/>
    <w:rsid w:val="52BE6086"/>
    <w:rsid w:val="52E60454"/>
    <w:rsid w:val="52F277D3"/>
    <w:rsid w:val="53183CF5"/>
    <w:rsid w:val="53650405"/>
    <w:rsid w:val="54A47AA0"/>
    <w:rsid w:val="54F95B8E"/>
    <w:rsid w:val="55111814"/>
    <w:rsid w:val="5612099E"/>
    <w:rsid w:val="56950707"/>
    <w:rsid w:val="56AED9A3"/>
    <w:rsid w:val="56FE4619"/>
    <w:rsid w:val="56FEEBAA"/>
    <w:rsid w:val="57D7B5B5"/>
    <w:rsid w:val="57DA211C"/>
    <w:rsid w:val="58040325"/>
    <w:rsid w:val="5886351F"/>
    <w:rsid w:val="58DC437F"/>
    <w:rsid w:val="590E0E11"/>
    <w:rsid w:val="596D0588"/>
    <w:rsid w:val="59B7197C"/>
    <w:rsid w:val="5A22466C"/>
    <w:rsid w:val="5A726CD4"/>
    <w:rsid w:val="5A9C6788"/>
    <w:rsid w:val="5AE9060E"/>
    <w:rsid w:val="5AEF02A4"/>
    <w:rsid w:val="5B314F17"/>
    <w:rsid w:val="5B7EE503"/>
    <w:rsid w:val="5BFA3674"/>
    <w:rsid w:val="5CFB6015"/>
    <w:rsid w:val="5DD15318"/>
    <w:rsid w:val="5EBB44B3"/>
    <w:rsid w:val="5ED708A2"/>
    <w:rsid w:val="5EE4D61D"/>
    <w:rsid w:val="5EFF4359"/>
    <w:rsid w:val="5F5FC2DB"/>
    <w:rsid w:val="5F877DE6"/>
    <w:rsid w:val="5FA728A7"/>
    <w:rsid w:val="5FE78402"/>
    <w:rsid w:val="5FE9456F"/>
    <w:rsid w:val="60B8658C"/>
    <w:rsid w:val="60BA0556"/>
    <w:rsid w:val="60DB398B"/>
    <w:rsid w:val="616B4469"/>
    <w:rsid w:val="617DF742"/>
    <w:rsid w:val="623213C3"/>
    <w:rsid w:val="62AA67D1"/>
    <w:rsid w:val="62AB08DD"/>
    <w:rsid w:val="62B4457F"/>
    <w:rsid w:val="62F12229"/>
    <w:rsid w:val="63991244"/>
    <w:rsid w:val="63B4F1C4"/>
    <w:rsid w:val="65A5045A"/>
    <w:rsid w:val="66892A14"/>
    <w:rsid w:val="66A76F78"/>
    <w:rsid w:val="672B1033"/>
    <w:rsid w:val="67D84A3A"/>
    <w:rsid w:val="68E32EF1"/>
    <w:rsid w:val="695609FE"/>
    <w:rsid w:val="697338B5"/>
    <w:rsid w:val="6991083D"/>
    <w:rsid w:val="6A0018D3"/>
    <w:rsid w:val="6A3A1E22"/>
    <w:rsid w:val="6ACA5340"/>
    <w:rsid w:val="6AFBE2FD"/>
    <w:rsid w:val="6B1336CA"/>
    <w:rsid w:val="6B601CFA"/>
    <w:rsid w:val="6B77B31C"/>
    <w:rsid w:val="6BF6F70B"/>
    <w:rsid w:val="6C4F3886"/>
    <w:rsid w:val="6D953FD0"/>
    <w:rsid w:val="6DBD50C2"/>
    <w:rsid w:val="6DEFBE8D"/>
    <w:rsid w:val="6DF6EE5D"/>
    <w:rsid w:val="6E6FFD58"/>
    <w:rsid w:val="6E972B5D"/>
    <w:rsid w:val="6FA92E43"/>
    <w:rsid w:val="6FCF3AFF"/>
    <w:rsid w:val="6FDFB749"/>
    <w:rsid w:val="6FFA6EFF"/>
    <w:rsid w:val="6FFF02D3"/>
    <w:rsid w:val="6FFF9A75"/>
    <w:rsid w:val="6FFFD07D"/>
    <w:rsid w:val="701336AB"/>
    <w:rsid w:val="702B15B8"/>
    <w:rsid w:val="730F4AE2"/>
    <w:rsid w:val="73426669"/>
    <w:rsid w:val="736875DA"/>
    <w:rsid w:val="736E6677"/>
    <w:rsid w:val="738B4EA6"/>
    <w:rsid w:val="73F9F200"/>
    <w:rsid w:val="743B1A18"/>
    <w:rsid w:val="74AD223F"/>
    <w:rsid w:val="74DE7F3D"/>
    <w:rsid w:val="74F769B5"/>
    <w:rsid w:val="767DCAB3"/>
    <w:rsid w:val="767F4FE6"/>
    <w:rsid w:val="76BD1016"/>
    <w:rsid w:val="76C21ABB"/>
    <w:rsid w:val="76C4DCB4"/>
    <w:rsid w:val="76E75AA9"/>
    <w:rsid w:val="77639741"/>
    <w:rsid w:val="777DDBFA"/>
    <w:rsid w:val="779E4CF7"/>
    <w:rsid w:val="77B76890"/>
    <w:rsid w:val="77FEA771"/>
    <w:rsid w:val="77FFCAF9"/>
    <w:rsid w:val="780523AE"/>
    <w:rsid w:val="78A41665"/>
    <w:rsid w:val="78D120BF"/>
    <w:rsid w:val="7A4C55E3"/>
    <w:rsid w:val="7A53410C"/>
    <w:rsid w:val="7A577472"/>
    <w:rsid w:val="7A7BEF72"/>
    <w:rsid w:val="7A9279F6"/>
    <w:rsid w:val="7ADD4C29"/>
    <w:rsid w:val="7AFE2822"/>
    <w:rsid w:val="7B7C2B32"/>
    <w:rsid w:val="7B9A1470"/>
    <w:rsid w:val="7BEE3D32"/>
    <w:rsid w:val="7BF59FBC"/>
    <w:rsid w:val="7BF65EEE"/>
    <w:rsid w:val="7CA76A30"/>
    <w:rsid w:val="7CBF2C38"/>
    <w:rsid w:val="7D5F4119"/>
    <w:rsid w:val="7D776F44"/>
    <w:rsid w:val="7D7BA38E"/>
    <w:rsid w:val="7D8459A1"/>
    <w:rsid w:val="7DCF8524"/>
    <w:rsid w:val="7DDF0D63"/>
    <w:rsid w:val="7E0FB349"/>
    <w:rsid w:val="7E53808C"/>
    <w:rsid w:val="7EA7853F"/>
    <w:rsid w:val="7ED246D9"/>
    <w:rsid w:val="7EDB1951"/>
    <w:rsid w:val="7EE9F22B"/>
    <w:rsid w:val="7EF57B57"/>
    <w:rsid w:val="7EFF68B1"/>
    <w:rsid w:val="7F294417"/>
    <w:rsid w:val="7F3D240F"/>
    <w:rsid w:val="7F614E20"/>
    <w:rsid w:val="7F6F5A1B"/>
    <w:rsid w:val="7F753E9A"/>
    <w:rsid w:val="7F7E550E"/>
    <w:rsid w:val="7FB7439F"/>
    <w:rsid w:val="7FBF7C51"/>
    <w:rsid w:val="7FC939D0"/>
    <w:rsid w:val="7FD6A27B"/>
    <w:rsid w:val="7FEDA862"/>
    <w:rsid w:val="7FF7817D"/>
    <w:rsid w:val="7FFD5D18"/>
    <w:rsid w:val="7FFD93AA"/>
    <w:rsid w:val="7FFE5E77"/>
    <w:rsid w:val="7FFE63C7"/>
    <w:rsid w:val="8AE3D017"/>
    <w:rsid w:val="93BFFE25"/>
    <w:rsid w:val="93DE4D53"/>
    <w:rsid w:val="97EF0570"/>
    <w:rsid w:val="9EBE6894"/>
    <w:rsid w:val="A7FE46DD"/>
    <w:rsid w:val="AB7F584A"/>
    <w:rsid w:val="ADE1CE1F"/>
    <w:rsid w:val="AFEFD635"/>
    <w:rsid w:val="B2FF2882"/>
    <w:rsid w:val="B67E1F6E"/>
    <w:rsid w:val="B6C51A8E"/>
    <w:rsid w:val="B71EE1DE"/>
    <w:rsid w:val="B77E0A94"/>
    <w:rsid w:val="B7FF816A"/>
    <w:rsid w:val="BADF173F"/>
    <w:rsid w:val="BBEF4A7A"/>
    <w:rsid w:val="BC7F42EB"/>
    <w:rsid w:val="BD760178"/>
    <w:rsid w:val="BD9B4B70"/>
    <w:rsid w:val="BDFA148F"/>
    <w:rsid w:val="BDFDB831"/>
    <w:rsid w:val="BE1DD3DB"/>
    <w:rsid w:val="BFBD08A6"/>
    <w:rsid w:val="BFCC1B63"/>
    <w:rsid w:val="BFF3702B"/>
    <w:rsid w:val="BFF6C44B"/>
    <w:rsid w:val="BFFB8F7B"/>
    <w:rsid w:val="BFFBE771"/>
    <w:rsid w:val="BFFFFC04"/>
    <w:rsid w:val="C87D361C"/>
    <w:rsid w:val="CFBF8861"/>
    <w:rsid w:val="CFFD4A5A"/>
    <w:rsid w:val="D57FEA81"/>
    <w:rsid w:val="D5BF14D1"/>
    <w:rsid w:val="D7F75EDB"/>
    <w:rsid w:val="D7F785F4"/>
    <w:rsid w:val="D97C0045"/>
    <w:rsid w:val="DAED3199"/>
    <w:rsid w:val="DAFD0D04"/>
    <w:rsid w:val="DBE5F7EA"/>
    <w:rsid w:val="DDED9019"/>
    <w:rsid w:val="DDEF3D90"/>
    <w:rsid w:val="DEB62BC2"/>
    <w:rsid w:val="DEEDE229"/>
    <w:rsid w:val="DEFF3227"/>
    <w:rsid w:val="DF9F197B"/>
    <w:rsid w:val="DFDBDF0B"/>
    <w:rsid w:val="DFEDBDD6"/>
    <w:rsid w:val="DFF9D15B"/>
    <w:rsid w:val="DFFBB3EC"/>
    <w:rsid w:val="E0EF55D7"/>
    <w:rsid w:val="E5CE60C7"/>
    <w:rsid w:val="E6BFB65F"/>
    <w:rsid w:val="E9FF74B7"/>
    <w:rsid w:val="EA9FADB6"/>
    <w:rsid w:val="EBABD82E"/>
    <w:rsid w:val="EBBA1790"/>
    <w:rsid w:val="EEEF6478"/>
    <w:rsid w:val="EFBFE229"/>
    <w:rsid w:val="EFFBF998"/>
    <w:rsid w:val="EFFF7259"/>
    <w:rsid w:val="F175C4DB"/>
    <w:rsid w:val="F2F2EE95"/>
    <w:rsid w:val="F69D31A6"/>
    <w:rsid w:val="F6EF7FC9"/>
    <w:rsid w:val="F77E3BE2"/>
    <w:rsid w:val="F7A95DB0"/>
    <w:rsid w:val="F7AF9FCD"/>
    <w:rsid w:val="F7B3205D"/>
    <w:rsid w:val="F7B72858"/>
    <w:rsid w:val="FA676C91"/>
    <w:rsid w:val="FB718D57"/>
    <w:rsid w:val="FBEF2C16"/>
    <w:rsid w:val="FBEFD815"/>
    <w:rsid w:val="FBFF4312"/>
    <w:rsid w:val="FCBFABA4"/>
    <w:rsid w:val="FCFE9610"/>
    <w:rsid w:val="FD8BC96D"/>
    <w:rsid w:val="FDAB0972"/>
    <w:rsid w:val="FDBE76F7"/>
    <w:rsid w:val="FDDF783E"/>
    <w:rsid w:val="FDEB7BD9"/>
    <w:rsid w:val="FDFF482D"/>
    <w:rsid w:val="FE971EC6"/>
    <w:rsid w:val="FEBF7CC7"/>
    <w:rsid w:val="FEBFBB84"/>
    <w:rsid w:val="FEDF8508"/>
    <w:rsid w:val="FF53F2E3"/>
    <w:rsid w:val="FF6FB73B"/>
    <w:rsid w:val="FF7E06D1"/>
    <w:rsid w:val="FF8F2C32"/>
    <w:rsid w:val="FFABAAB9"/>
    <w:rsid w:val="FFBBA604"/>
    <w:rsid w:val="FFBE428E"/>
    <w:rsid w:val="FFD89AE5"/>
    <w:rsid w:val="FFEF790A"/>
    <w:rsid w:val="FFF523DA"/>
    <w:rsid w:val="FFF7D625"/>
    <w:rsid w:val="FFFBB72D"/>
    <w:rsid w:val="FFFF8961"/>
    <w:rsid w:val="FFFFB764"/>
    <w:rsid w:val="FFFFE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Next/>
      <w:keepLines/>
      <w:spacing w:line="500" w:lineRule="exact"/>
      <w:outlineLvl w:val="3"/>
    </w:pPr>
    <w:rPr>
      <w:rFonts w:ascii="Arial" w:hAnsi="Arial" w:cs="宋体"/>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3"/>
    <w:qFormat/>
    <w:uiPriority w:val="0"/>
    <w:pPr>
      <w:adjustRightInd w:val="0"/>
      <w:snapToGrid w:val="0"/>
      <w:spacing w:line="360" w:lineRule="auto"/>
    </w:pPr>
    <w:rPr>
      <w:sz w:val="24"/>
    </w:rPr>
  </w:style>
  <w:style w:type="paragraph" w:styleId="5">
    <w:name w:val="Body Text"/>
    <w:basedOn w:val="1"/>
    <w:next w:val="6"/>
    <w:qFormat/>
    <w:uiPriority w:val="0"/>
    <w:pPr>
      <w:spacing w:line="240" w:lineRule="atLeast"/>
    </w:pPr>
    <w:rPr>
      <w:sz w:val="28"/>
    </w:rPr>
  </w:style>
  <w:style w:type="paragraph" w:customStyle="1" w:styleId="6">
    <w:name w:val="默认段落"/>
    <w:qFormat/>
    <w:uiPriority w:val="0"/>
    <w:pPr>
      <w:widowControl w:val="0"/>
      <w:jc w:val="both"/>
    </w:pPr>
    <w:rPr>
      <w:rFonts w:ascii="Calibri" w:hAnsi="Calibri" w:eastAsia="宋体" w:cs="Times New Roman"/>
      <w:kern w:val="2"/>
      <w:sz w:val="21"/>
      <w:lang w:val="en-US" w:eastAsia="zh-CN" w:bidi="ar-SA"/>
    </w:rPr>
  </w:style>
  <w:style w:type="paragraph" w:styleId="7">
    <w:name w:val="Balloon Text"/>
    <w:basedOn w:val="1"/>
    <w:semiHidden/>
    <w:qFormat/>
    <w:uiPriority w:val="0"/>
    <w:rPr>
      <w:kern w:val="0"/>
      <w:sz w:val="18"/>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pPr>
      <w:adjustRightInd w:val="0"/>
      <w:snapToGrid w:val="0"/>
      <w:spacing w:line="280" w:lineRule="exact"/>
      <w:jc w:val="center"/>
    </w:pPr>
    <w:rPr>
      <w:sz w:val="24"/>
      <w:szCs w:val="20"/>
    </w:rPr>
  </w:style>
  <w:style w:type="paragraph" w:styleId="11">
    <w:name w:val="Body Text First Indent"/>
    <w:basedOn w:val="5"/>
    <w:qFormat/>
    <w:uiPriority w:val="0"/>
    <w:pPr>
      <w:spacing w:after="120"/>
      <w:ind w:firstLine="420" w:firstLineChars="100"/>
    </w:pPr>
    <w:rPr>
      <w:sz w:val="21"/>
      <w:szCs w:val="24"/>
    </w:rPr>
  </w:style>
  <w:style w:type="character" w:styleId="14">
    <w:name w:val="FollowedHyperlink"/>
    <w:basedOn w:val="13"/>
    <w:semiHidden/>
    <w:unhideWhenUsed/>
    <w:qFormat/>
    <w:uiPriority w:val="99"/>
    <w:rPr>
      <w:color w:val="000000"/>
      <w:u w:val="none"/>
    </w:rPr>
  </w:style>
  <w:style w:type="character" w:styleId="15">
    <w:name w:val="Emphasis"/>
    <w:basedOn w:val="13"/>
    <w:qFormat/>
    <w:uiPriority w:val="20"/>
  </w:style>
  <w:style w:type="character" w:styleId="16">
    <w:name w:val="Hyperlink"/>
    <w:basedOn w:val="13"/>
    <w:semiHidden/>
    <w:unhideWhenUsed/>
    <w:qFormat/>
    <w:uiPriority w:val="99"/>
    <w:rPr>
      <w:color w:val="000000"/>
      <w:u w:val="none"/>
    </w:rPr>
  </w:style>
  <w:style w:type="paragraph" w:customStyle="1" w:styleId="17">
    <w:name w:val="Default"/>
    <w:basedOn w:val="18"/>
    <w:qFormat/>
    <w:uiPriority w:val="0"/>
    <w:pPr>
      <w:widowControl w:val="0"/>
      <w:autoSpaceDE w:val="0"/>
      <w:autoSpaceDN w:val="0"/>
      <w:adjustRightInd w:val="0"/>
    </w:pPr>
    <w:rPr>
      <w:color w:val="000000"/>
      <w:sz w:val="24"/>
      <w:szCs w:val="24"/>
      <w:lang w:val="en-US" w:eastAsia="zh-CN" w:bidi="ar-SA"/>
    </w:rPr>
  </w:style>
  <w:style w:type="paragraph" w:customStyle="1" w:styleId="18">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19">
    <w:name w:val="NormalCharacter"/>
    <w:qFormat/>
    <w:uiPriority w:val="0"/>
    <w:rPr>
      <w:rFonts w:ascii="Times New Roman" w:hAnsi="Times New Roman" w:eastAsia="宋体"/>
    </w:rPr>
  </w:style>
  <w:style w:type="character" w:customStyle="1" w:styleId="20">
    <w:name w:val="cur1"/>
    <w:basedOn w:val="13"/>
    <w:qFormat/>
    <w:uiPriority w:val="0"/>
    <w:rPr>
      <w:color w:val="FFFFFF"/>
      <w:shd w:val="clear" w:fill="2F6B98"/>
    </w:rPr>
  </w:style>
  <w:style w:type="character" w:customStyle="1" w:styleId="21">
    <w:name w:val="znspantitle"/>
    <w:basedOn w:val="13"/>
    <w:qFormat/>
    <w:uiPriority w:val="0"/>
    <w:rPr>
      <w:b/>
      <w:bCs/>
      <w:color w:val="333333"/>
    </w:rPr>
  </w:style>
  <w:style w:type="character" w:customStyle="1" w:styleId="22">
    <w:name w:val="lable"/>
    <w:basedOn w:val="13"/>
    <w:qFormat/>
    <w:uiPriority w:val="0"/>
    <w:rPr>
      <w:sz w:val="24"/>
      <w:szCs w:val="24"/>
    </w:rPr>
  </w:style>
  <w:style w:type="character" w:customStyle="1" w:styleId="23">
    <w:name w:val="lishishuju"/>
    <w:basedOn w:val="13"/>
    <w:qFormat/>
    <w:uiPriority w:val="0"/>
    <w:rPr>
      <w:b/>
      <w:bCs/>
      <w:color w:val="000052"/>
      <w:sz w:val="24"/>
      <w:szCs w:val="24"/>
      <w:bdr w:val="single" w:color="E3E3E3" w:sz="6" w:space="0"/>
    </w:rPr>
  </w:style>
  <w:style w:type="character" w:customStyle="1" w:styleId="24">
    <w:name w:val="radio-btn"/>
    <w:basedOn w:val="13"/>
    <w:qFormat/>
    <w:uiPriority w:val="0"/>
    <w:rPr>
      <w:sz w:val="24"/>
      <w:szCs w:val="24"/>
    </w:rPr>
  </w:style>
  <w:style w:type="character" w:customStyle="1" w:styleId="25">
    <w:name w:val="radio-btn1"/>
    <w:basedOn w:val="13"/>
    <w:qFormat/>
    <w:uiPriority w:val="0"/>
    <w:rPr>
      <w:sz w:val="24"/>
      <w:szCs w:val="24"/>
    </w:rPr>
  </w:style>
  <w:style w:type="character" w:customStyle="1" w:styleId="26">
    <w:name w:val="radio-btn2"/>
    <w:basedOn w:val="13"/>
    <w:qFormat/>
    <w:uiPriority w:val="0"/>
    <w:rPr>
      <w:sz w:val="24"/>
      <w:szCs w:val="24"/>
    </w:rPr>
  </w:style>
  <w:style w:type="paragraph" w:customStyle="1" w:styleId="27">
    <w:name w:val="样式 样式 样式 四号 左侧:  1.53 厘米 + 首行缩进:  2 字符 + 居中 左侧:  2 字符 首行缩进:  2..."/>
    <w:basedOn w:val="28"/>
    <w:qFormat/>
    <w:uiPriority w:val="0"/>
    <w:pPr>
      <w:jc w:val="center"/>
    </w:pPr>
  </w:style>
  <w:style w:type="paragraph" w:customStyle="1" w:styleId="28">
    <w:name w:val="样式 样式 四号 左侧:  1.53 厘米 + 首行缩进:  2 字符"/>
    <w:basedOn w:val="29"/>
    <w:qFormat/>
    <w:uiPriority w:val="0"/>
    <w:pPr>
      <w:ind w:left="200" w:leftChars="200"/>
    </w:pPr>
    <w:rPr>
      <w:szCs w:val="20"/>
    </w:rPr>
  </w:style>
  <w:style w:type="paragraph" w:customStyle="1" w:styleId="29">
    <w:name w:val="样式 四号 左侧:  1.53 厘米"/>
    <w:basedOn w:val="1"/>
    <w:qFormat/>
    <w:uiPriority w:val="0"/>
    <w:pPr>
      <w:adjustRightInd w:val="0"/>
    </w:pPr>
    <w:rPr>
      <w:w w:val="9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2817</Words>
  <Characters>2978</Characters>
  <Lines>24</Lines>
  <Paragraphs>6</Paragraphs>
  <TotalTime>20</TotalTime>
  <ScaleCrop>false</ScaleCrop>
  <LinksUpToDate>false</LinksUpToDate>
  <CharactersWithSpaces>3030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2021-04-04T09:03:00Z</dcterms:created>
  <dc:creator>w's'd</dc:creator>
  <cp:lastModifiedBy>administrator</cp:lastModifiedBy>
  <cp:lastPrinted>2025-10-14T10:47:14Z</cp:lastPrinted>
  <dcterms:modified xsi:type="dcterms:W3CDTF">2025-10-14T10:48:42Z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C0E89432EE3CA55355A5ED68F57BE071_43</vt:lpwstr>
  </property>
</Properties>
</file>