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700" w:lineRule="exact"/>
        <w:rPr>
          <w:rFonts w:ascii="Times New Roman" w:cs="宋体" w:hAnsi="Times New Roman"/>
          <w:color w:val="000000"/>
          <w:sz w:val="32"/>
          <w:szCs w:val="32"/>
        </w:rPr>
      </w:pPr>
    </w:p>
    <w:p>
      <w:pPr>
        <w:wordWrap w:val="0"/>
        <w:spacing w:line="700" w:lineRule="exact"/>
        <w:jc w:val="right"/>
        <w:rPr>
          <w:rFonts w:ascii="Times New Roman" w:eastAsia="仿宋_GB2312" w:cs="宋体" w:hAnsi="Times New Roman"/>
          <w:color w:val="000000"/>
          <w:sz w:val="32"/>
          <w:szCs w:val="32"/>
        </w:rPr>
      </w:pPr>
      <w:r>
        <w:rPr>
          <w:rFonts w:ascii="Times New Roman" w:eastAsia="仿宋_GB2312" w:cs="仿宋_GB2312" w:hAnsi="Times New Roman" w:hint="eastAsia"/>
          <w:color w:val="000000"/>
          <w:sz w:val="32"/>
          <w:szCs w:val="32"/>
        </w:rPr>
        <w:t xml:space="preserve"> 秦审批环准许〔202</w:t>
      </w:r>
      <w:r>
        <w:rPr>
          <w:rFonts w:ascii="Times New Roman" w:eastAsia="仿宋_GB2312" w:cs="仿宋_GB2312" w:hAnsi="Times New Roman" w:hint="eastAsia"/>
          <w:color w:val="000000"/>
          <w:sz w:val="32"/>
          <w:szCs w:val="32"/>
          <w:lang w:val="en-US" w:eastAsia="zh-CN"/>
        </w:rPr>
        <w:t>5</w:t>
      </w:r>
      <w:r>
        <w:rPr>
          <w:rFonts w:ascii="Times New Roman" w:eastAsia="仿宋_GB2312" w:cs="仿宋_GB2312" w:hAnsi="Times New Roman" w:hint="eastAsia"/>
          <w:color w:val="000000"/>
          <w:sz w:val="32"/>
          <w:szCs w:val="32"/>
        </w:rPr>
        <w:t>〕</w:t>
      </w:r>
      <w:r>
        <w:rPr>
          <w:rFonts w:ascii="Times New Roman" w:eastAsia="仿宋_GB2312" w:cs="仿宋_GB2312" w:hAnsi="Times New Roman"/>
          <w:color w:val="000000"/>
          <w:sz w:val="32"/>
          <w:szCs w:val="32"/>
        </w:rPr>
        <w:t>11</w:t>
      </w:r>
      <w:r>
        <w:rPr>
          <w:rFonts w:ascii="Times New Roman" w:eastAsia="仿宋_GB2312" w:cs="仿宋_GB2312" w:hAnsi="Times New Roman" w:hint="eastAsia"/>
          <w:color w:val="000000"/>
          <w:sz w:val="32"/>
          <w:szCs w:val="32"/>
        </w:rPr>
        <w:t>-00</w:t>
      </w:r>
      <w:r>
        <w:rPr>
          <w:rFonts w:ascii="Times New Roman" w:eastAsia="仿宋_GB2312" w:cs="仿宋_GB2312" w:hAnsi="Times New Roman"/>
          <w:color w:val="000000"/>
          <w:sz w:val="32"/>
          <w:szCs w:val="32"/>
          <w:lang w:val="en-US" w:eastAsia="zh-CN"/>
        </w:rPr>
        <w:t>16</w:t>
      </w:r>
      <w:r>
        <w:rPr>
          <w:rFonts w:ascii="Times New Roman" w:eastAsia="仿宋_GB2312" w:cs="仿宋_GB2312" w:hAnsi="Times New Roman" w:hint="eastAsia"/>
          <w:color w:val="000000"/>
          <w:sz w:val="32"/>
          <w:szCs w:val="32"/>
        </w:rPr>
        <w:t>号</w:t>
      </w:r>
    </w:p>
    <w:p>
      <w:pPr>
        <w:adjustRightInd w:val="0"/>
        <w:snapToGrid w:val="0"/>
        <w:spacing w:line="560" w:lineRule="exact"/>
        <w:jc w:val="center"/>
        <w:rPr>
          <w:rFonts w:ascii="方正小标宋简体" w:eastAsia="方正小标宋简体" w:cs="方正小标宋简体" w:hint="eastAsia"/>
          <w:color w:val="000000"/>
          <w:kern w:val="0"/>
          <w:sz w:val="44"/>
          <w:szCs w:val="44"/>
          <w:shd w:val="clear" w:color="auto" w:fill="FFFFFF"/>
        </w:rPr>
      </w:pPr>
      <w:bookmarkStart w:id="0" w:name="OLE_LINK4"/>
      <w:r>
        <w:rPr>
          <w:rFonts w:ascii="方正小标宋简体" w:eastAsia="方正小标宋简体" w:cs="方正小标宋简体" w:hint="eastAsia"/>
          <w:color w:val="000000"/>
          <w:kern w:val="0"/>
          <w:sz w:val="44"/>
          <w:szCs w:val="44"/>
          <w:shd w:val="clear" w:color="auto" w:fill="FFFFFF"/>
        </w:rPr>
        <w:t>关于</w:t>
      </w:r>
      <w:bookmarkStart w:id="1" w:name="_Hlk48493511"/>
      <w:r>
        <w:rPr>
          <w:rFonts w:ascii="方正小标宋简体" w:eastAsia="方正小标宋简体" w:cs="方正小标宋简体"/>
          <w:color w:val="000000"/>
          <w:kern w:val="0"/>
          <w:sz w:val="44"/>
          <w:szCs w:val="44"/>
          <w:shd w:val="clear" w:color="auto" w:fill="FFFFFF"/>
        </w:rPr>
        <w:t>中电建昌黎县新能源有限公司</w:t>
      </w:r>
      <w:r>
        <w:rPr>
          <w:rFonts w:ascii="方正小标宋简体" w:eastAsia="方正小标宋简体" w:cs="方正小标宋简体" w:hint="eastAsia"/>
          <w:color w:val="000000"/>
          <w:kern w:val="0"/>
          <w:sz w:val="44"/>
          <w:szCs w:val="44"/>
          <w:shd w:val="clear" w:color="auto" w:fill="FFFFFF"/>
        </w:rPr>
        <w:t>《</w:t>
      </w:r>
      <w:r>
        <w:rPr>
          <w:rFonts w:ascii="方正小标宋简体" w:eastAsia="方正小标宋简体" w:cs="方正小标宋简体"/>
          <w:color w:val="000000"/>
          <w:kern w:val="0"/>
          <w:sz w:val="44"/>
          <w:szCs w:val="44"/>
          <w:shd w:val="clear" w:color="auto" w:fill="FFFFFF"/>
        </w:rPr>
        <w:t>中电建昌黎构网型独立储能示范项目配套220</w:t>
      </w:r>
      <w:r>
        <w:rPr>
          <w:rFonts w:ascii="方正小标宋简体" w:eastAsia="方正小标宋简体" w:cs="方正小标宋简体" w:hint="eastAsia"/>
          <w:color w:val="000000"/>
          <w:kern w:val="0"/>
          <w:sz w:val="44"/>
          <w:szCs w:val="44"/>
          <w:shd w:val="clear" w:color="auto" w:fill="FFFFFF"/>
          <w:lang w:val="en-US" w:eastAsia="zh-CN"/>
        </w:rPr>
        <w:t>kV</w:t>
      </w:r>
      <w:r>
        <w:rPr>
          <w:rFonts w:ascii="方正小标宋简体" w:eastAsia="方正小标宋简体" w:cs="方正小标宋简体"/>
          <w:color w:val="000000"/>
          <w:kern w:val="0"/>
          <w:sz w:val="44"/>
          <w:szCs w:val="44"/>
          <w:shd w:val="clear" w:color="auto" w:fill="FFFFFF"/>
        </w:rPr>
        <w:t>升压站工程</w:t>
      </w:r>
      <w:r>
        <w:rPr>
          <w:rFonts w:ascii="方正小标宋简体" w:eastAsia="方正小标宋简体" w:cs="方正小标宋简体" w:hint="eastAsia"/>
          <w:color w:val="000000"/>
          <w:kern w:val="0"/>
          <w:sz w:val="44"/>
          <w:szCs w:val="44"/>
        </w:rPr>
        <w:t>环境影响报告表》</w:t>
      </w:r>
      <w:bookmarkEnd w:id="1"/>
      <w:r>
        <w:rPr>
          <w:rFonts w:ascii="方正小标宋简体" w:eastAsia="方正小标宋简体" w:cs="方正小标宋简体" w:hint="eastAsia"/>
          <w:color w:val="000000"/>
          <w:kern w:val="0"/>
          <w:sz w:val="44"/>
          <w:szCs w:val="44"/>
          <w:shd w:val="clear" w:color="auto" w:fill="FFFFFF"/>
        </w:rPr>
        <w:t>的批复</w:t>
      </w:r>
    </w:p>
    <w:p>
      <w:pPr>
        <w:spacing w:line="560" w:lineRule="exact"/>
        <w:jc w:val="center"/>
        <w:rPr>
          <w:rFonts w:ascii="Times New Roman" w:eastAsia="仿宋_GB2312" w:cs="仿宋_GB2312" w:hAnsi="Times New Roman"/>
          <w:color w:val="000000"/>
          <w:kern w:val="0"/>
          <w:sz w:val="32"/>
          <w:szCs w:val="32"/>
          <w:shd w:val="clear" w:color="auto" w:fill="FFFFFF"/>
        </w:rPr>
      </w:pPr>
      <w:bookmarkEnd w:id="0"/>
      <w:r>
        <w:rPr>
          <w:rFonts w:ascii="Times New Roman" w:eastAsia="方正小标宋简体" w:cs="方正小标宋简体" w:hAnsi="Times New Roman"/>
          <w:color w:val="000000"/>
          <w:sz w:val="44"/>
          <w:szCs w:val="44"/>
        </w:rPr>
        <mc:AlternateContent>
          <mc:Choice Requires="wps">
            <w:drawing>
              <wp:anchor distT="0" distB="0" distL="113664" distR="113664" simplePos="0" relativeHeight="15" behindDoc="0" locked="0" layoutInCell="0" hidden="1" allowOverlap="1">
                <wp:simplePos x="0" y="0"/>
                <wp:positionH relativeFrom="page">
                  <wp:posOffset>734694</wp:posOffset>
                </wp:positionH>
                <wp:positionV relativeFrom="page">
                  <wp:posOffset>9935844</wp:posOffset>
                </wp:positionV>
                <wp:extent cx="6083935" cy="951"/>
                <wp:wrapTopAndBottom/>
                <wp:docPr id="7" name="_x0000_s1026" hidden="1"/>
                <wp:cNvGraphicFramePr>
                  <a:graphicFrameLocks noChangeAspect="0"/>
                </wp:cNvGraphicFramePr>
                <a:graphic>
                  <a:graphicData uri="http://schemas.microsoft.com/office/word/2010/wordprocessingShape">
                    <wps:wsp>
                      <wps:cNvSpPr/>
                      <wps:spPr>
                        <a:xfrm rot="0">
                          <a:off x="0" y="0"/>
                          <a:ext cx="6083935" cy="951"/>
                        </a:xfrm>
                        <a:prstGeom prst="line"/>
                        <a:noFill/>
                        <a:ln w="69850" cmpd="thinThick" cap="flat">
                          <a:solidFill>
                            <a:srgbClr val="FF0000"/>
                          </a:solidFill>
                          <a:prstDash val="solid"/>
                          <a:miter/>
                        </a:ln>
                      </wps:spPr>
                      <wps:bodyPr vert="horz" wrap="square" lIns="91440" tIns="45720" rIns="91440" bIns="45720" anchor="t" anchorCtr="0" upright="1">
                        <a:noAutofit/>
                      </wps:bodyPr>
                    </wps:wsp>
                  </a:graphicData>
                </a:graphic>
              </wp:anchor>
            </w:drawing>
          </mc:Choice>
          <mc:Fallback>
            <w:pict>
              <v:line type="#_x0000_t20" id="_x0000_s1026" o:spid="_x0000_s5" from="57.849922pt,782.35pt" to="536.8999pt,782.42487pt" filled="f" stroked="t" strokeweight="5.5pt" o:allowincell="f" style="position:absolute;z-index:15;mso-position-horizontal:absolute;mso-position-horizontal-relative:page;mso-position-vertical:absolute;mso-position-vertical-relative:page;mso-wrap-distance-left:8.949922pt;mso-wrap-distance-right:8.949922pt;visibility:hidden;">
                <v:stroke linestyle="thinThick" color="#FF0000"/>
                <w10:wrap type="topAndBottom"/>
              </v:line>
            </w:pict>
          </mc:Fallback>
        </mc:AlternateContent>
      </w:r>
      <w:r>
        <w:rPr>
          <w:rFonts w:ascii="Times New Roman" w:eastAsia="方正小标宋简体" w:cs="方正小标宋简体" w:hAnsi="Times New Roman"/>
          <w:color w:val="000000"/>
          <w:sz w:val="44"/>
          <w:szCs w:val="44"/>
        </w:rPr>
        <mc:AlternateContent>
          <mc:Choice Requires="wps">
            <w:drawing>
              <wp:anchor distT="0" distB="0" distL="113664" distR="113664" simplePos="0" relativeHeight="17" behindDoc="0" locked="0" layoutInCell="0" hidden="1" allowOverlap="1">
                <wp:simplePos x="0" y="0"/>
                <wp:positionH relativeFrom="column">
                  <wp:posOffset>-273685</wp:posOffset>
                </wp:positionH>
                <wp:positionV relativeFrom="margin">
                  <wp:posOffset>445134</wp:posOffset>
                </wp:positionV>
                <wp:extent cx="6083935" cy="952"/>
                <wp:wrapTopAndBottom/>
                <wp:docPr id="9" name="_x0000_s1027" hidden="1"/>
                <wp:cNvGraphicFramePr>
                  <a:graphicFrameLocks noChangeAspect="0"/>
                </wp:cNvGraphicFramePr>
                <a:graphic>
                  <a:graphicData uri="http://schemas.microsoft.com/office/word/2010/wordprocessingShape">
                    <wps:wsp>
                      <wps:cNvSpPr/>
                      <wps:spPr>
                        <a:xfrm rot="0">
                          <a:off x="0" y="0"/>
                          <a:ext cx="6083935" cy="952"/>
                        </a:xfrm>
                        <a:prstGeom prst="line"/>
                        <a:noFill/>
                        <a:ln w="69850" cmpd="thickThin" cap="flat">
                          <a:solidFill>
                            <a:srgbClr val="FF0000"/>
                          </a:solidFill>
                          <a:prstDash val="solid"/>
                          <a:miter/>
                        </a:ln>
                      </wps:spPr>
                      <wps:bodyPr vert="horz" wrap="square" lIns="91440" tIns="45720" rIns="91440" bIns="45720" anchor="t" anchorCtr="0" upright="1">
                        <a:noAutofit/>
                      </wps:bodyPr>
                    </wps:wsp>
                  </a:graphicData>
                </a:graphic>
              </wp:anchor>
            </w:drawing>
          </mc:Choice>
          <mc:Fallback>
            <w:pict>
              <v:line type="#_x0000_t20" id="_x0000_s1027" o:spid="_x0000_s6" from="-21.55pt,35.049923pt" to="457.5pt,35.124886pt" filled="f" stroked="t" strokeweight="5.5pt" o:allowincell="f" style="position:absolute;z-index:17;mso-position-horizontal:absolute;mso-position-vertical:absolute;mso-position-vertical-relative:margin;mso-wrap-distance-left:8.949922pt;mso-wrap-distance-right:8.949922pt;visibility:hidden;">
                <v:stroke linestyle="thickThin" color="#FF0000"/>
                <w10:wrap type="topAndBottom"/>
              </v:line>
            </w:pict>
          </mc:Fallback>
        </mc:AlternateConten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仿宋_GB2312" w:eastAsia="仿宋_GB2312" w:cs="仿宋_GB2312" w:hint="eastAsia"/>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中电建昌黎县新能源有限公司:</w:t>
      </w:r>
    </w:p>
    <w:p>
      <w:pPr>
        <w:keepNext w:val="0"/>
        <w:keepLines w:val="0"/>
        <w:pageBreakBefore w:val="0"/>
        <w:widowControl w:val="0"/>
        <w:kinsoku/>
        <w:wordWrap/>
        <w:overflowPunct/>
        <w:topLinePunct w:val="0"/>
        <w:autoSpaceDE/>
        <w:autoSpaceDN/>
        <w:adjustRightInd w:val="0"/>
        <w:snapToGrid w:val="0"/>
        <w:spacing w:beforeAutospacing="0" w:afterAutospacing="0" w:line="580" w:lineRule="exact"/>
        <w:ind w:firstLineChars="200" w:firstLine="640"/>
        <w:rPr>
          <w:rFonts w:ascii="仿宋_GB2312" w:eastAsia="仿宋_GB2312" w:cs="仿宋_GB2312" w:hint="eastAsia"/>
          <w:snapToGrid w:val="0"/>
          <w:color w:val="000000"/>
          <w:kern w:val="0"/>
          <w:sz w:val="32"/>
          <w:szCs w:val="32"/>
          <w:lang w:val="en-US" w:eastAsia="zh-CN"/>
        </w:rPr>
      </w:pPr>
      <w:r>
        <w:rPr>
          <w:rFonts w:ascii="仿宋_GB2312" w:eastAsia="仿宋_GB2312" w:cs="仿宋_GB2312" w:hint="eastAsia"/>
          <w:snapToGrid w:val="0"/>
          <w:color w:val="000000"/>
          <w:kern w:val="0"/>
          <w:sz w:val="32"/>
          <w:szCs w:val="32"/>
          <w:shd w:val="clear" w:color="auto" w:fill="FFFFFF"/>
          <w:lang w:val="en-US" w:eastAsia="zh-CN"/>
        </w:rPr>
        <w:t>所报《</w:t>
      </w:r>
      <w:r>
        <w:rPr>
          <w:rFonts w:ascii="仿宋_GB2312" w:eastAsia="仿宋_GB2312" w:cs="仿宋_GB2312" w:hint="eastAsia"/>
          <w:color w:val="000000"/>
          <w:kern w:val="0"/>
          <w:sz w:val="32"/>
          <w:szCs w:val="32"/>
          <w:shd w:val="clear" w:color="auto" w:fill="FFFFFF"/>
        </w:rPr>
        <w:t>中电建昌黎构网型独立储能示范项目配套220</w:t>
      </w:r>
      <w:r>
        <w:rPr>
          <w:rFonts w:ascii="仿宋_GB2312" w:eastAsia="仿宋_GB2312" w:cs="仿宋_GB2312" w:hint="eastAsia"/>
          <w:color w:val="000000"/>
          <w:kern w:val="0"/>
          <w:sz w:val="32"/>
          <w:szCs w:val="32"/>
          <w:shd w:val="clear" w:color="auto" w:fill="FFFFFF"/>
          <w:lang w:val="en-US" w:eastAsia="zh-CN"/>
        </w:rPr>
        <w:t>kV</w:t>
      </w:r>
      <w:r>
        <w:rPr>
          <w:rFonts w:ascii="仿宋_GB2312" w:eastAsia="仿宋_GB2312" w:cs="仿宋_GB2312" w:hint="eastAsia"/>
          <w:color w:val="000000"/>
          <w:kern w:val="0"/>
          <w:sz w:val="32"/>
          <w:szCs w:val="32"/>
          <w:shd w:val="clear" w:color="auto" w:fill="FFFFFF"/>
        </w:rPr>
        <w:t>升压站工程</w:t>
      </w:r>
      <w:r>
        <w:rPr>
          <w:rFonts w:ascii="仿宋_GB2312" w:eastAsia="仿宋_GB2312" w:cs="仿宋_GB2312" w:hint="eastAsia"/>
          <w:snapToGrid w:val="0"/>
          <w:color w:val="000000"/>
          <w:kern w:val="0"/>
          <w:sz w:val="32"/>
          <w:szCs w:val="32"/>
          <w:shd w:val="clear" w:color="auto" w:fill="FFFFFF"/>
          <w:lang w:val="en-US" w:eastAsia="zh-CN"/>
        </w:rPr>
        <w:t>环境影响报告表》(以下简称《报告表》)</w:t>
      </w:r>
      <w:r>
        <w:rPr>
          <w:rFonts w:ascii="仿宋_GB2312" w:eastAsia="仿宋_GB2312" w:cs="仿宋_GB2312" w:hint="eastAsia"/>
          <w:color w:val="000000"/>
          <w:kern w:val="0"/>
          <w:sz w:val="32"/>
          <w:szCs w:val="32"/>
          <w:shd w:val="clear" w:color="auto" w:fill="FFFFFF"/>
        </w:rPr>
        <w:t>审批申请</w:t>
      </w:r>
      <w:r>
        <w:rPr>
          <w:rFonts w:ascii="仿宋_GB2312" w:eastAsia="仿宋_GB2312" w:cs="仿宋_GB2312" w:hint="eastAsia"/>
          <w:snapToGrid w:val="0"/>
          <w:color w:val="000000"/>
          <w:kern w:val="0"/>
          <w:sz w:val="32"/>
          <w:szCs w:val="32"/>
          <w:shd w:val="clear" w:color="auto" w:fill="FFFFFF"/>
          <w:lang w:val="en-US" w:eastAsia="zh-CN"/>
        </w:rPr>
        <w:t>及相关申报材料收悉。</w:t>
      </w:r>
      <w:r>
        <w:rPr>
          <w:rFonts w:ascii="仿宋_GB2312" w:eastAsia="仿宋_GB2312" w:cs="仿宋_GB2312" w:hint="eastAsia"/>
          <w:color w:val="000000"/>
          <w:kern w:val="0"/>
          <w:sz w:val="32"/>
          <w:szCs w:val="32"/>
        </w:rPr>
        <w:t>结合</w:t>
      </w:r>
      <w:r>
        <w:rPr>
          <w:rFonts w:ascii="仿宋_GB2312" w:eastAsia="仿宋_GB2312" w:cs="仿宋_GB2312" w:hint="eastAsia"/>
          <w:snapToGrid w:val="0"/>
          <w:color w:val="000000"/>
          <w:kern w:val="0"/>
          <w:sz w:val="32"/>
          <w:szCs w:val="32"/>
          <w:lang w:val="en-US" w:eastAsia="zh-CN"/>
        </w:rPr>
        <w:t>《中电建昌黎构网型独立储能示范项目配套220kV升压站工程环境影响报告表技术评估意见》</w:t>
      </w:r>
      <w:r>
        <w:rPr>
          <w:rFonts w:ascii="仿宋_GB2312" w:eastAsia="仿宋_GB2312" w:cs="仿宋_GB2312" w:hint="eastAsia"/>
          <w:color w:val="000000"/>
          <w:kern w:val="0"/>
          <w:sz w:val="32"/>
          <w:szCs w:val="32"/>
          <w:lang w:eastAsia="zh-CN"/>
        </w:rPr>
        <w:t>（超泰环评[202</w:t>
      </w:r>
      <w:r>
        <w:rPr>
          <w:rFonts w:ascii="仿宋_GB2312" w:eastAsia="仿宋_GB2312" w:cs="仿宋_GB2312" w:hint="eastAsia"/>
          <w:color w:val="000000"/>
          <w:kern w:val="0"/>
          <w:sz w:val="32"/>
          <w:szCs w:val="32"/>
          <w:lang w:val="en-US" w:eastAsia="zh-CN"/>
        </w:rPr>
        <w:t>5</w:t>
      </w:r>
      <w:r>
        <w:rPr>
          <w:rFonts w:ascii="仿宋_GB2312" w:eastAsia="仿宋_GB2312" w:cs="仿宋_GB2312" w:hint="eastAsia"/>
          <w:color w:val="000000"/>
          <w:kern w:val="0"/>
          <w:sz w:val="32"/>
          <w:szCs w:val="32"/>
          <w:lang w:eastAsia="zh-CN"/>
        </w:rPr>
        <w:t>]02</w:t>
      </w:r>
      <w:r>
        <w:rPr>
          <w:rFonts w:ascii="仿宋_GB2312" w:eastAsia="仿宋_GB2312" w:cs="仿宋_GB2312" w:hint="eastAsia"/>
          <w:color w:val="000000"/>
          <w:kern w:val="0"/>
          <w:sz w:val="32"/>
          <w:szCs w:val="32"/>
          <w:lang w:val="en-US" w:eastAsia="zh-CN"/>
        </w:rPr>
        <w:t>3</w:t>
      </w:r>
      <w:r>
        <w:rPr>
          <w:rFonts w:ascii="仿宋_GB2312" w:eastAsia="仿宋_GB2312" w:cs="仿宋_GB2312" w:hint="eastAsia"/>
          <w:color w:val="000000"/>
          <w:kern w:val="0"/>
          <w:sz w:val="32"/>
          <w:szCs w:val="32"/>
          <w:lang w:eastAsia="zh-CN"/>
        </w:rPr>
        <w:t>号）</w:t>
      </w:r>
      <w:r>
        <w:rPr>
          <w:rFonts w:ascii="仿宋_GB2312" w:eastAsia="仿宋_GB2312" w:cs="仿宋_GB2312" w:hint="eastAsia"/>
          <w:snapToGrid w:val="0"/>
          <w:color w:val="000000"/>
          <w:kern w:val="0"/>
          <w:sz w:val="32"/>
          <w:szCs w:val="32"/>
          <w:lang w:val="en-US" w:eastAsia="zh-CN"/>
        </w:rPr>
        <w:t>，经研究，现批复如下：</w:t>
      </w:r>
    </w:p>
    <w:p>
      <w:pPr>
        <w:pStyle w:val="15"/>
        <w:keepNext w:val="0"/>
        <w:keepLines w:val="0"/>
        <w:pageBreakBefore w:val="0"/>
        <w:widowControl w:val="0"/>
        <w:numPr>
          <w:ilvl w:val="0"/>
          <w:numId w:val="1"/>
        </w:numPr>
        <w:kinsoku/>
        <w:wordWrap/>
        <w:overflowPunct/>
        <w:topLinePunct w:val="0"/>
        <w:autoSpaceDE/>
        <w:autoSpaceDN/>
        <w:adjustRightInd w:val="0"/>
        <w:snapToGrid w:val="0"/>
        <w:spacing w:beforeAutospacing="0" w:afterAutospacing="0" w:line="580" w:lineRule="exact"/>
        <w:ind w:left="0" w:firstLineChars="200" w:firstLine="640"/>
        <w:rPr>
          <w:rFonts w:ascii="仿宋_GB2312" w:eastAsia="仿宋_GB2312" w:cs="仿宋_GB2312" w:hint="eastAsia"/>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项目主要建设内容及总体要求。项目位于秦皇岛市昌黎县新集镇马踏店村村东。</w:t>
      </w:r>
      <w:r>
        <w:rPr>
          <w:rFonts w:ascii="仿宋_GB2312" w:eastAsia="仿宋_GB2312" w:cs="仿宋_GB2312" w:hint="eastAsia"/>
          <w:color w:val="000000"/>
          <w:kern w:val="0"/>
          <w:sz w:val="32"/>
          <w:szCs w:val="32"/>
          <w:shd w:val="clear" w:color="auto" w:fill="FFFFFF"/>
          <w:lang w:val="en-US" w:eastAsia="zh-CN"/>
        </w:rPr>
        <w:t>拟建设</w:t>
      </w:r>
      <w:r>
        <w:rPr>
          <w:rFonts w:ascii="仿宋_GB2312" w:eastAsia="仿宋_GB2312" w:cs="仿宋_GB2312" w:hint="eastAsia"/>
          <w:color w:val="000000"/>
          <w:kern w:val="0"/>
          <w:sz w:val="32"/>
          <w:szCs w:val="32"/>
          <w:shd w:val="clear" w:color="auto" w:fill="FFFFFF"/>
        </w:rPr>
        <w:t>220kV储能升压站一座，</w:t>
      </w:r>
      <w:r>
        <w:rPr>
          <w:rFonts w:ascii="仿宋_GB2312" w:eastAsia="仿宋_GB2312" w:cs="仿宋_GB2312" w:hint="eastAsia"/>
          <w:color w:val="000000"/>
          <w:kern w:val="0"/>
          <w:sz w:val="32"/>
          <w:szCs w:val="32"/>
          <w:shd w:val="clear" w:color="auto" w:fill="FFFFFF"/>
          <w:lang w:eastAsia="zh-CN"/>
        </w:rPr>
        <w:t>升压站规划主变容量为1</w:t>
      </w:r>
      <w:r>
        <w:rPr>
          <w:rFonts w:ascii="仿宋_GB2312" w:eastAsia="仿宋_GB2312" w:cs="仿宋_GB2312" w:hAnsi="宋体" w:hint="eastAsia"/>
          <w:color w:val="000000"/>
          <w:kern w:val="0"/>
          <w:sz w:val="32"/>
          <w:szCs w:val="32"/>
          <w:shd w:val="clear" w:color="auto" w:fill="FFFFFF"/>
          <w:lang w:eastAsia="zh-CN"/>
          <w:highlight w:val="none"/>
        </w:rPr>
        <w:t>×</w:t>
      </w:r>
      <w:r>
        <w:rPr>
          <w:rFonts w:ascii="仿宋_GB2312" w:eastAsia="仿宋_GB2312" w:cs="仿宋_GB2312" w:hint="eastAsia"/>
          <w:color w:val="000000"/>
          <w:kern w:val="0"/>
          <w:sz w:val="32"/>
          <w:szCs w:val="32"/>
          <w:shd w:val="clear" w:color="auto" w:fill="FFFFFF"/>
          <w:lang w:eastAsia="zh-CN"/>
        </w:rPr>
        <w:t>200MVA，本期主变容量为1</w:t>
      </w:r>
      <w:r>
        <w:rPr>
          <w:rFonts w:ascii="仿宋_GB2312" w:eastAsia="仿宋_GB2312" w:cs="仿宋_GB2312" w:hAnsi="宋体" w:hint="eastAsia"/>
          <w:color w:val="000000"/>
          <w:kern w:val="0"/>
          <w:sz w:val="32"/>
          <w:szCs w:val="32"/>
          <w:shd w:val="clear" w:color="auto" w:fill="FFFFFF"/>
          <w:lang w:eastAsia="zh-CN"/>
          <w:highlight w:val="none"/>
        </w:rPr>
        <w:t>×</w:t>
      </w:r>
      <w:r>
        <w:rPr>
          <w:rFonts w:ascii="仿宋_GB2312" w:eastAsia="仿宋_GB2312" w:cs="仿宋_GB2312" w:hint="eastAsia"/>
          <w:color w:val="000000"/>
          <w:kern w:val="0"/>
          <w:sz w:val="32"/>
          <w:szCs w:val="32"/>
          <w:shd w:val="clear" w:color="auto" w:fill="FFFFFF"/>
          <w:lang w:eastAsia="zh-CN"/>
        </w:rPr>
        <w:t>200MVA，采用户外布置，电压等级为220kV/35kV，升压站220kV配电装置采用户外GIS布置。</w:t>
      </w:r>
      <w:r>
        <w:rPr>
          <w:rFonts w:ascii="仿宋_GB2312" w:eastAsia="仿宋_GB2312" w:cs="仿宋_GB2312" w:hint="eastAsia"/>
          <w:color w:val="000000"/>
          <w:kern w:val="0"/>
          <w:sz w:val="32"/>
          <w:szCs w:val="32"/>
          <w:shd w:val="clear" w:color="auto" w:fill="FFFFFF"/>
        </w:rPr>
        <w:t>本项目</w:t>
      </w:r>
      <w:r>
        <w:rPr>
          <w:rFonts w:ascii="仿宋_GB2312" w:eastAsia="仿宋_GB2312" w:cs="仿宋_GB2312" w:hint="eastAsia"/>
          <w:color w:val="000000"/>
          <w:kern w:val="0"/>
          <w:sz w:val="32"/>
          <w:szCs w:val="32"/>
          <w:shd w:val="clear" w:color="auto" w:fill="FFFFFF"/>
          <w:lang w:val="en-US" w:eastAsia="zh-CN"/>
        </w:rPr>
        <w:t>仅对</w:t>
      </w:r>
      <w:r>
        <w:rPr>
          <w:rFonts w:ascii="仿宋_GB2312" w:eastAsia="仿宋_GB2312" w:cs="仿宋_GB2312" w:hint="eastAsia"/>
          <w:snapToGrid w:val="0"/>
          <w:color w:val="000000"/>
          <w:kern w:val="0"/>
          <w:sz w:val="32"/>
          <w:szCs w:val="32"/>
          <w:shd w:val="clear" w:color="auto" w:fill="FFFFFF"/>
          <w:lang w:val="en-US" w:eastAsia="zh-CN"/>
        </w:rPr>
        <w:t>220</w:t>
      </w:r>
      <w:r>
        <w:rPr>
          <w:rFonts w:ascii="仿宋_GB2312" w:eastAsia="仿宋_GB2312" w:cs="仿宋_GB2312" w:hint="eastAsia"/>
          <w:color w:val="000000"/>
          <w:kern w:val="0"/>
          <w:sz w:val="32"/>
          <w:szCs w:val="32"/>
          <w:shd w:val="clear" w:color="auto" w:fill="FFFFFF"/>
        </w:rPr>
        <w:t>kV升压站</w:t>
      </w:r>
      <w:r>
        <w:rPr>
          <w:rFonts w:ascii="仿宋_GB2312" w:eastAsia="仿宋_GB2312" w:cs="仿宋_GB2312" w:hint="eastAsia"/>
          <w:snapToGrid w:val="0"/>
          <w:color w:val="000000"/>
          <w:kern w:val="0"/>
          <w:sz w:val="32"/>
          <w:szCs w:val="32"/>
          <w:shd w:val="clear" w:color="auto" w:fill="FFFFFF"/>
          <w:lang w:val="en-US" w:eastAsia="zh-CN"/>
        </w:rPr>
        <w:t>进行评价，</w:t>
      </w:r>
      <w:r>
        <w:rPr>
          <w:rFonts w:ascii="仿宋_GB2312" w:eastAsia="仿宋_GB2312" w:cs="仿宋_GB2312" w:hint="eastAsia"/>
          <w:color w:val="000000"/>
          <w:kern w:val="0"/>
          <w:sz w:val="32"/>
          <w:szCs w:val="32"/>
          <w:shd w:val="clear" w:color="auto" w:fill="FFFFFF"/>
        </w:rPr>
        <w:t>不涉及线路</w:t>
      </w:r>
      <w:r>
        <w:rPr>
          <w:rFonts w:ascii="仿宋_GB2312" w:eastAsia="仿宋_GB2312" w:cs="仿宋_GB2312" w:hint="eastAsia"/>
          <w:color w:val="000000"/>
          <w:kern w:val="0"/>
          <w:sz w:val="32"/>
          <w:szCs w:val="32"/>
          <w:shd w:val="clear" w:color="auto" w:fill="FFFFFF"/>
          <w:lang w:val="en-US" w:eastAsia="zh-CN"/>
        </w:rPr>
        <w:t>等其他内容。</w:t>
      </w:r>
      <w:r>
        <w:rPr>
          <w:rFonts w:ascii="仿宋_GB2312" w:eastAsia="仿宋_GB2312" w:cs="仿宋_GB2312" w:hint="eastAsia"/>
          <w:color w:val="000000"/>
          <w:kern w:val="0"/>
          <w:sz w:val="32"/>
          <w:szCs w:val="32"/>
          <w:shd w:val="clear" w:color="auto" w:fill="FFFFFF"/>
        </w:rPr>
        <w:t>项目总投资56000.51万元，其中环保投资为347万元，占总投资的0.62%。</w:t>
      </w:r>
      <w:r>
        <w:rPr>
          <w:rFonts w:ascii="仿宋_GB2312" w:eastAsia="仿宋_GB2312" w:cs="仿宋_GB2312" w:hint="eastAsia"/>
          <w:color w:val="000000"/>
          <w:kern w:val="0"/>
          <w:sz w:val="32"/>
          <w:szCs w:val="32"/>
          <w:shd w:val="clear" w:color="auto" w:fill="FFFFFF"/>
          <w:lang w:eastAsia="zh-CN"/>
        </w:rPr>
        <w:t>项目须</w:t>
      </w:r>
      <w:bookmarkStart w:id="2" w:name="_GoBack"/>
      <w:bookmarkEnd w:id="2"/>
      <w:r>
        <w:rPr>
          <w:rFonts w:ascii="仿宋_GB2312" w:eastAsia="仿宋_GB2312" w:cs="仿宋_GB2312" w:hint="eastAsia"/>
          <w:color w:val="000000"/>
          <w:kern w:val="0"/>
          <w:sz w:val="32"/>
          <w:szCs w:val="32"/>
          <w:shd w:val="clear" w:color="auto" w:fill="FFFFFF"/>
          <w:lang w:eastAsia="zh-CN"/>
        </w:rPr>
        <w:t>符合相关产业政策</w:t>
      </w:r>
      <w:r>
        <w:rPr>
          <w:rFonts w:ascii="仿宋_GB2312" w:eastAsia="仿宋_GB2312" w:cs="仿宋_GB2312" w:hint="eastAsia"/>
          <w:color w:val="000000"/>
          <w:kern w:val="0"/>
          <w:sz w:val="32"/>
          <w:szCs w:val="32"/>
          <w:shd w:val="clear" w:color="auto" w:fill="FFFFFF"/>
          <w:lang w:val="en-US" w:eastAsia="zh-CN"/>
        </w:rPr>
        <w:t>和</w:t>
      </w:r>
      <w:r>
        <w:rPr>
          <w:rFonts w:ascii="仿宋_GB2312" w:eastAsia="仿宋_GB2312" w:cs="仿宋_GB2312" w:hint="eastAsia"/>
          <w:color w:val="000000"/>
          <w:kern w:val="0"/>
          <w:sz w:val="32"/>
          <w:szCs w:val="32"/>
        </w:rPr>
        <w:t>“三线一单”管控等要求</w:t>
      </w:r>
      <w:r>
        <w:rPr>
          <w:rFonts w:ascii="仿宋_GB2312" w:eastAsia="仿宋_GB2312" w:cs="仿宋_GB2312" w:hint="eastAsia"/>
          <w:color w:val="000000"/>
          <w:kern w:val="0"/>
          <w:sz w:val="32"/>
          <w:szCs w:val="32"/>
          <w:lang w:eastAsia="zh-CN"/>
        </w:rPr>
        <w:t>。</w:t>
      </w:r>
      <w:r>
        <w:rPr>
          <w:rFonts w:ascii="仿宋_GB2312" w:eastAsia="仿宋_GB2312" w:cs="仿宋_GB2312" w:hint="eastAsia"/>
          <w:color w:val="000000"/>
          <w:kern w:val="0"/>
          <w:sz w:val="32"/>
          <w:szCs w:val="32"/>
        </w:rPr>
        <w:t>项目建设须符合城乡建设、土地利用</w:t>
      </w:r>
      <w:r>
        <w:rPr>
          <w:rFonts w:ascii="仿宋_GB2312" w:eastAsia="仿宋_GB2312" w:cs="仿宋_GB2312" w:hint="eastAsia"/>
          <w:color w:val="000000"/>
          <w:kern w:val="0"/>
          <w:sz w:val="32"/>
          <w:szCs w:val="32"/>
          <w:lang w:eastAsia="zh-CN"/>
        </w:rPr>
        <w:t>、地方产业布局</w:t>
      </w:r>
      <w:r>
        <w:rPr>
          <w:rFonts w:ascii="仿宋_GB2312" w:eastAsia="仿宋_GB2312" w:cs="仿宋_GB2312" w:hint="eastAsia"/>
          <w:color w:val="000000"/>
          <w:kern w:val="0"/>
          <w:sz w:val="32"/>
          <w:szCs w:val="32"/>
        </w:rPr>
        <w:t>等相关规划要求。</w:t>
      </w:r>
      <w:r>
        <w:rPr>
          <w:rFonts w:ascii="仿宋_GB2312" w:eastAsia="仿宋_GB2312" w:cs="仿宋_GB2312" w:hint="eastAsia"/>
          <w:color w:val="000000"/>
          <w:kern w:val="0"/>
          <w:sz w:val="32"/>
          <w:szCs w:val="32"/>
          <w:shd w:val="clear" w:color="auto" w:fill="FFFFFF"/>
          <w:lang w:val="en-US" w:eastAsia="zh-CN"/>
        </w:rPr>
        <w:t>项目</w:t>
      </w:r>
      <w:r>
        <w:rPr>
          <w:rFonts w:ascii="仿宋_GB2312" w:eastAsia="仿宋_GB2312" w:cs="仿宋_GB2312" w:hint="eastAsia"/>
          <w:color w:val="000000"/>
          <w:kern w:val="0"/>
          <w:sz w:val="32"/>
          <w:szCs w:val="32"/>
          <w:shd w:val="clear" w:color="auto" w:fill="FFFFFF"/>
          <w:lang w:eastAsia="zh-CN"/>
        </w:rPr>
        <w:t>已经昌黎县行政审批局备案（备案编号：昌审批备字〔2025〕153号）。</w:t>
      </w:r>
    </w:p>
    <w:p>
      <w:pPr>
        <w:pStyle w:val="15"/>
        <w:keepNext w:val="0"/>
        <w:keepLines w:val="0"/>
        <w:pageBreakBefore w:val="0"/>
        <w:widowControl w:val="0"/>
        <w:kinsoku/>
        <w:wordWrap/>
        <w:overflowPunct/>
        <w:topLinePunct w:val="0"/>
        <w:autoSpaceDE/>
        <w:autoSpaceDN/>
        <w:adjustRightInd w:val="0"/>
        <w:snapToGrid w:val="0"/>
        <w:spacing w:beforeAutospacing="0" w:afterAutospacing="0" w:line="580" w:lineRule="exact"/>
        <w:ind w:firstLineChars="200" w:firstLine="640"/>
        <w:rPr>
          <w:rFonts w:ascii="仿宋_GB2312" w:eastAsia="仿宋_GB2312" w:cs="仿宋_GB2312" w:hint="eastAsia"/>
          <w:color w:val="000000"/>
          <w:kern w:val="0"/>
          <w:sz w:val="32"/>
          <w:szCs w:val="32"/>
          <w:shd w:val="clear" w:color="auto" w:fill="FFFFFF"/>
          <w:lang w:eastAsia="zh-CN"/>
        </w:rPr>
      </w:pPr>
      <w:r>
        <w:rPr>
          <w:rFonts w:ascii="仿宋_GB2312" w:eastAsia="仿宋_GB2312" w:cs="仿宋_GB2312" w:hint="eastAsia"/>
          <w:snapToGrid w:val="0"/>
          <w:color w:val="000000"/>
          <w:kern w:val="0"/>
          <w:sz w:val="32"/>
          <w:szCs w:val="32"/>
        </w:rPr>
        <w:t>根据所报《</w:t>
      </w:r>
      <w:r>
        <w:rPr>
          <w:rFonts w:ascii="仿宋_GB2312" w:eastAsia="仿宋_GB2312" w:cs="仿宋_GB2312" w:hint="eastAsia"/>
          <w:snapToGrid w:val="0"/>
          <w:color w:val="000000"/>
          <w:kern w:val="0"/>
          <w:sz w:val="32"/>
          <w:szCs w:val="32"/>
          <w:shd w:val="clear" w:color="auto" w:fill="FFFFFF"/>
          <w:lang w:val="en-US" w:eastAsia="zh-CN"/>
        </w:rPr>
        <w:t>报告表</w:t>
      </w:r>
      <w:r>
        <w:rPr>
          <w:rFonts w:ascii="仿宋_GB2312" w:eastAsia="仿宋_GB2312" w:cs="仿宋_GB2312" w:hint="eastAsia"/>
          <w:snapToGrid w:val="0"/>
          <w:color w:val="000000"/>
          <w:kern w:val="0"/>
          <w:sz w:val="32"/>
          <w:szCs w:val="32"/>
        </w:rPr>
        <w:t>》、报告</w:t>
      </w:r>
      <w:r>
        <w:rPr>
          <w:rFonts w:ascii="仿宋_GB2312" w:eastAsia="仿宋_GB2312" w:cs="仿宋_GB2312" w:hint="eastAsia"/>
          <w:snapToGrid w:val="0"/>
          <w:color w:val="000000"/>
          <w:kern w:val="0"/>
          <w:sz w:val="32"/>
          <w:szCs w:val="32"/>
          <w:lang w:val="en-US" w:eastAsia="zh-CN"/>
        </w:rPr>
        <w:t>表</w:t>
      </w:r>
      <w:r>
        <w:rPr>
          <w:rFonts w:ascii="仿宋_GB2312" w:eastAsia="仿宋_GB2312" w:cs="仿宋_GB2312" w:hint="eastAsia"/>
          <w:snapToGrid w:val="0"/>
          <w:color w:val="000000"/>
          <w:kern w:val="0"/>
          <w:sz w:val="32"/>
          <w:szCs w:val="32"/>
        </w:rPr>
        <w:t>评估意见、各有关部门意见、本项目公示意见反馈情况以及企业承诺等</w:t>
      </w:r>
      <w:r>
        <w:rPr>
          <w:rFonts w:ascii="仿宋_GB2312" w:eastAsia="仿宋_GB2312" w:cs="仿宋_GB2312" w:hint="eastAsia"/>
          <w:snapToGrid w:val="0"/>
          <w:color w:val="000000"/>
          <w:kern w:val="0"/>
          <w:sz w:val="32"/>
          <w:szCs w:val="32"/>
          <w:lang w:eastAsia="zh-CN"/>
        </w:rPr>
        <w:t>，</w:t>
      </w:r>
      <w:r>
        <w:rPr>
          <w:rFonts w:ascii="仿宋_GB2312" w:eastAsia="仿宋_GB2312" w:cs="仿宋_GB2312" w:hint="eastAsia"/>
          <w:snapToGrid w:val="0"/>
          <w:color w:val="000000"/>
          <w:kern w:val="0"/>
          <w:sz w:val="32"/>
          <w:szCs w:val="32"/>
          <w:shd w:val="clear" w:color="auto" w:fill="FFFFFF"/>
        </w:rPr>
        <w:t>在项目</w:t>
      </w:r>
      <w:r>
        <w:rPr>
          <w:rFonts w:ascii="仿宋_GB2312" w:eastAsia="仿宋_GB2312" w:cs="仿宋_GB2312" w:hint="eastAsia"/>
          <w:snapToGrid w:val="0"/>
          <w:color w:val="000000"/>
          <w:kern w:val="0"/>
          <w:sz w:val="32"/>
          <w:szCs w:val="32"/>
        </w:rPr>
        <w:t>全面严格落实国家和地方相关法律法规、规章、标准</w:t>
      </w:r>
      <w:r>
        <w:rPr>
          <w:rFonts w:ascii="仿宋_GB2312" w:eastAsia="仿宋_GB2312" w:cs="仿宋_GB2312" w:hint="eastAsia"/>
          <w:snapToGrid w:val="0"/>
          <w:color w:val="000000"/>
          <w:kern w:val="0"/>
          <w:sz w:val="32"/>
          <w:szCs w:val="32"/>
          <w:shd w:val="clear" w:color="auto" w:fill="FFFFFF"/>
        </w:rPr>
        <w:t>、生态环境</w:t>
      </w:r>
      <w:r>
        <w:rPr>
          <w:rFonts w:ascii="仿宋_GB2312" w:eastAsia="仿宋_GB2312" w:cs="仿宋_GB2312" w:hint="eastAsia"/>
          <w:color w:val="000000"/>
          <w:kern w:val="0"/>
          <w:sz w:val="32"/>
          <w:szCs w:val="32"/>
          <w:shd w:val="clear" w:color="auto" w:fill="FFFFFF"/>
        </w:rPr>
        <w:t>部门</w:t>
      </w:r>
      <w:r>
        <w:rPr>
          <w:rFonts w:ascii="仿宋_GB2312" w:eastAsia="仿宋_GB2312" w:cs="仿宋_GB2312" w:hint="eastAsia"/>
          <w:snapToGrid w:val="0"/>
          <w:color w:val="000000"/>
          <w:kern w:val="0"/>
          <w:sz w:val="32"/>
          <w:szCs w:val="32"/>
          <w:shd w:val="clear" w:color="auto" w:fill="FFFFFF"/>
        </w:rPr>
        <w:t>监督管理等要求</w:t>
      </w:r>
      <w:r>
        <w:rPr>
          <w:rFonts w:ascii="仿宋_GB2312" w:eastAsia="仿宋_GB2312" w:cs="仿宋_GB2312" w:hint="eastAsia"/>
          <w:snapToGrid w:val="0"/>
          <w:color w:val="000000"/>
          <w:kern w:val="0"/>
          <w:sz w:val="32"/>
          <w:szCs w:val="32"/>
        </w:rPr>
        <w:t>以及</w:t>
      </w:r>
      <w:r>
        <w:rPr>
          <w:rFonts w:ascii="仿宋_GB2312" w:eastAsia="仿宋_GB2312" w:cs="仿宋_GB2312" w:hint="eastAsia"/>
          <w:snapToGrid w:val="0"/>
          <w:color w:val="000000"/>
          <w:kern w:val="0"/>
          <w:sz w:val="32"/>
          <w:szCs w:val="32"/>
          <w:shd w:val="clear" w:color="auto" w:fill="FFFFFF"/>
        </w:rPr>
        <w:t>《报告表》提出的各项</w:t>
      </w:r>
      <w:r>
        <w:rPr>
          <w:rFonts w:ascii="仿宋_GB2312" w:eastAsia="仿宋_GB2312" w:cs="仿宋_GB2312" w:hint="eastAsia"/>
          <w:color w:val="000000"/>
          <w:kern w:val="0"/>
          <w:sz w:val="32"/>
          <w:szCs w:val="32"/>
          <w:shd w:val="clear" w:color="auto" w:fill="FFFFFF"/>
        </w:rPr>
        <w:t>环境保护措施和环境保护管理要求的前提下，</w:t>
      </w:r>
      <w:r>
        <w:rPr>
          <w:rFonts w:ascii="仿宋_GB2312" w:eastAsia="仿宋_GB2312" w:cs="仿宋_GB2312" w:hint="eastAsia"/>
          <w:snapToGrid w:val="0"/>
          <w:color w:val="000000"/>
          <w:kern w:val="0"/>
          <w:sz w:val="32"/>
          <w:szCs w:val="32"/>
        </w:rPr>
        <w:t>从环境保护角度考虑，我局原则</w:t>
      </w:r>
      <w:r>
        <w:rPr>
          <w:rFonts w:ascii="仿宋_GB2312" w:eastAsia="仿宋_GB2312" w:cs="仿宋_GB2312" w:hint="eastAsia"/>
          <w:snapToGrid w:val="0"/>
          <w:color w:val="000000"/>
          <w:kern w:val="0"/>
          <w:sz w:val="32"/>
          <w:szCs w:val="32"/>
          <w:shd w:val="clear" w:color="auto" w:fill="FFFFFF"/>
        </w:rPr>
        <w:t>同意《报告表》结论。你</w:t>
      </w:r>
      <w:r>
        <w:rPr>
          <w:rFonts w:ascii="仿宋_GB2312" w:eastAsia="仿宋_GB2312" w:cs="仿宋_GB2312" w:hint="eastAsia"/>
          <w:snapToGrid w:val="0"/>
          <w:color w:val="000000"/>
          <w:kern w:val="0"/>
          <w:sz w:val="32"/>
          <w:szCs w:val="32"/>
          <w:shd w:val="clear" w:color="auto" w:fill="FFFFFF"/>
          <w:lang w:val="en-US" w:eastAsia="zh-CN"/>
        </w:rPr>
        <w:t>公司</w:t>
      </w:r>
      <w:r>
        <w:rPr>
          <w:rFonts w:ascii="仿宋_GB2312" w:eastAsia="仿宋_GB2312" w:cs="仿宋_GB2312" w:hint="eastAsia"/>
          <w:snapToGrid w:val="0"/>
          <w:color w:val="000000"/>
          <w:kern w:val="0"/>
          <w:sz w:val="32"/>
          <w:szCs w:val="32"/>
          <w:shd w:val="clear" w:color="auto" w:fill="FFFFFF"/>
        </w:rPr>
        <w:t>须严格按照《报告表》所列项目的性质、规模、地点、</w:t>
      </w:r>
      <w:r>
        <w:rPr>
          <w:rFonts w:ascii="仿宋_GB2312" w:eastAsia="仿宋_GB2312" w:cs="仿宋_GB2312" w:hint="eastAsia"/>
          <w:color w:val="000000"/>
          <w:kern w:val="0"/>
          <w:sz w:val="32"/>
          <w:szCs w:val="32"/>
          <w:shd w:val="clear" w:color="auto" w:fill="FFFFFF"/>
        </w:rPr>
        <w:t>环境保护措施和环境保护管理要求</w:t>
      </w:r>
      <w:r>
        <w:rPr>
          <w:rFonts w:ascii="仿宋_GB2312" w:eastAsia="仿宋_GB2312" w:cs="仿宋_GB2312" w:hint="eastAsia"/>
          <w:snapToGrid w:val="0"/>
          <w:color w:val="000000"/>
          <w:kern w:val="0"/>
          <w:sz w:val="32"/>
          <w:szCs w:val="32"/>
          <w:shd w:val="clear" w:color="auto" w:fill="FFFFFF"/>
        </w:rPr>
        <w:t>等实施项目建设，未列入本报告及批复许可的内容，不得建设、投入运行。</w:t>
      </w:r>
      <w:r>
        <w:rPr>
          <w:rFonts w:ascii="仿宋_GB2312" w:eastAsia="仿宋_GB2312" w:cs="仿宋_GB2312" w:hint="eastAsia"/>
          <w:color w:val="000000"/>
          <w:kern w:val="0"/>
          <w:sz w:val="32"/>
          <w:szCs w:val="32"/>
          <w:shd w:val="clear" w:color="auto" w:fill="FFFFFF"/>
          <w:lang w:eastAsia="zh-CN"/>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firstLineChars="200" w:firstLine="640"/>
        <w:textAlignment w:val="auto"/>
        <w:rPr>
          <w:rFonts w:ascii="仿宋_GB2312" w:eastAsia="仿宋_GB2312" w:cs="仿宋_GB2312" w:hint="eastAsia"/>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二、该项目在工程建设和运行管理中须认真落实《报告表》及相关的各项环境保护措施和环境保护管理要求，并重点做好以下工作：</w:t>
      </w:r>
    </w:p>
    <w:p>
      <w:pPr>
        <w:pStyle w:val="15"/>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Chars="200" w:firstLine="640"/>
        <w:textAlignment w:val="auto"/>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（一）加强施工期管理，制定严格的规章制度，确保各项环保措施落实到位。选用低噪声施工机械，合理安排各类施工机械工作时间，确保施工场界噪声达到</w:t>
      </w:r>
      <w:r>
        <w:rPr>
          <w:rFonts w:ascii="仿宋_GB2312" w:eastAsia="仿宋_GB2312" w:cs="仿宋_GB2312" w:hint="eastAsia"/>
          <w:color w:val="000000"/>
          <w:kern w:val="0"/>
          <w:sz w:val="32"/>
          <w:szCs w:val="32"/>
          <w:lang w:val="en-US" w:eastAsia="zh-CN"/>
        </w:rPr>
        <w:t>《建筑施工场界环境噪声排放标准》(GB12523-2011)要求；有效控制施工扬尘，确保施工扬尘满足《施工场地扬尘排放标准》（DB13/2934-2019）要求。依法依规处置施工期废气、废水、固废、噪声等，防止施工期废水、废气、固废、噪声等污染环境。</w:t>
      </w:r>
    </w:p>
    <w:p>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firstLineChars="200" w:firstLine="640"/>
        <w:textAlignment w:val="auto"/>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（二）严格落实有关控制工频电场、工频磁场的环境保护措施，确保</w:t>
      </w:r>
      <w:r>
        <w:rPr>
          <w:rFonts w:ascii="仿宋_GB2312" w:eastAsia="仿宋_GB2312" w:cs="仿宋_GB2312" w:hint="eastAsia"/>
          <w:color w:val="000000"/>
          <w:kern w:val="0"/>
          <w:sz w:val="32"/>
          <w:szCs w:val="32"/>
          <w:shd w:val="clear" w:color="auto" w:fill="FFFFFF"/>
        </w:rPr>
        <w:t>升压站</w:t>
      </w:r>
      <w:r>
        <w:rPr>
          <w:rFonts w:ascii="仿宋_GB2312" w:eastAsia="仿宋_GB2312" w:cs="仿宋_GB2312" w:hint="eastAsia"/>
          <w:color w:val="000000"/>
          <w:kern w:val="0"/>
          <w:sz w:val="32"/>
          <w:szCs w:val="32"/>
        </w:rPr>
        <w:t>运行时周围环境中的工频电场强度、工频磁感应强度符合《电磁环境控制限值》（GB8702</w:t>
      </w:r>
      <w:r>
        <w:rPr>
          <w:rFonts w:ascii="仿宋_GB2312" w:eastAsia="仿宋_GB2312" w:cs="仿宋_GB2312" w:hint="eastAsia"/>
          <w:color w:val="000000"/>
          <w:kern w:val="0"/>
          <w:sz w:val="32"/>
          <w:szCs w:val="32"/>
          <w:lang w:val="en-US" w:eastAsia="zh-CN"/>
        </w:rPr>
        <w:t>-</w:t>
      </w:r>
      <w:r>
        <w:rPr>
          <w:rFonts w:ascii="仿宋_GB2312" w:eastAsia="仿宋_GB2312" w:cs="仿宋_GB2312" w:hint="eastAsia"/>
          <w:color w:val="000000"/>
          <w:kern w:val="0"/>
          <w:sz w:val="32"/>
          <w:szCs w:val="32"/>
        </w:rPr>
        <w:t>2014）中相关限值要求，同时应设置警示和防护指示标志。</w:t>
      </w:r>
    </w:p>
    <w:p>
      <w:pPr>
        <w:pStyle w:val="18"/>
        <w:keepNext w:val="0"/>
        <w:keepLines w:val="0"/>
        <w:pageBreakBefore w:val="0"/>
        <w:widowControl w:val="0"/>
        <w:suppressLineNumbers w:val="0"/>
        <w:suppressAutoHyphens w:val="0"/>
        <w:kinsoku/>
        <w:wordWrap/>
        <w:overflowPunct/>
        <w:topLinePunct w:val="0"/>
        <w:autoSpaceDE/>
        <w:autoSpaceDN/>
        <w:bidi w:val="0"/>
        <w:adjustRightInd w:val="0"/>
        <w:snapToGrid w:val="0"/>
        <w:spacing w:beforeAutospacing="0" w:afterAutospacing="0" w:line="580" w:lineRule="exact"/>
        <w:ind w:firstLineChars="200" w:firstLine="640"/>
        <w:textAlignment w:val="auto"/>
        <w:rPr>
          <w:rFonts w:ascii="仿宋_GB2312" w:eastAsia="仿宋_GB2312" w:cs="仿宋_GB2312" w:hint="eastAsia"/>
          <w:color w:val="000000"/>
          <w:kern w:val="0"/>
          <w:sz w:val="32"/>
          <w:szCs w:val="32"/>
          <w:lang w:val="en-US" w:eastAsia="zh-CN"/>
        </w:rPr>
      </w:pPr>
      <w:r>
        <w:rPr>
          <w:rFonts w:ascii="仿宋_GB2312" w:eastAsia="仿宋_GB2312" w:cs="仿宋_GB2312" w:hint="eastAsia"/>
          <w:color w:val="000000"/>
          <w:kern w:val="0"/>
          <w:sz w:val="32"/>
          <w:szCs w:val="32"/>
        </w:rPr>
        <w:t>（三）重点做好环境噪声的防治工作。</w:t>
      </w:r>
      <w:r>
        <w:rPr>
          <w:rFonts w:ascii="仿宋_GB2312" w:eastAsia="仿宋_GB2312" w:cs="仿宋_GB2312" w:hint="eastAsia"/>
          <w:color w:val="000000"/>
          <w:kern w:val="0"/>
          <w:sz w:val="32"/>
          <w:szCs w:val="32"/>
          <w:shd w:val="clear" w:color="auto" w:fill="FFFFFF"/>
        </w:rPr>
        <w:t>升压站</w:t>
      </w:r>
      <w:r>
        <w:rPr>
          <w:rFonts w:ascii="仿宋_GB2312" w:eastAsia="仿宋_GB2312" w:cs="仿宋_GB2312" w:hint="eastAsia"/>
          <w:color w:val="000000"/>
          <w:kern w:val="0"/>
          <w:sz w:val="32"/>
          <w:szCs w:val="32"/>
        </w:rPr>
        <w:t>应合理布局，选用低噪声设备，采取隔声降噪措施。确保厂界噪声满足《工业企业厂界环境噪声排放标准》（GB12348</w:t>
      </w:r>
      <w:r>
        <w:rPr>
          <w:rFonts w:ascii="仿宋_GB2312" w:eastAsia="仿宋_GB2312" w:cs="仿宋_GB2312" w:hint="eastAsia"/>
          <w:color w:val="000000"/>
          <w:kern w:val="0"/>
          <w:sz w:val="32"/>
          <w:szCs w:val="32"/>
          <w:lang w:val="en-US" w:eastAsia="zh-CN"/>
        </w:rPr>
        <w:t>-</w:t>
      </w:r>
      <w:r>
        <w:rPr>
          <w:rFonts w:ascii="仿宋_GB2312" w:eastAsia="仿宋_GB2312" w:cs="仿宋_GB2312" w:hint="eastAsia"/>
          <w:color w:val="000000"/>
          <w:kern w:val="0"/>
          <w:sz w:val="32"/>
          <w:szCs w:val="32"/>
        </w:rPr>
        <w:t>2008）</w:t>
      </w:r>
      <w:r>
        <w:rPr>
          <w:rFonts w:ascii="仿宋_GB2312" w:eastAsia="仿宋_GB2312" w:cs="仿宋_GB2312" w:hint="eastAsia"/>
          <w:color w:val="000000"/>
          <w:kern w:val="0"/>
          <w:sz w:val="32"/>
          <w:szCs w:val="32"/>
          <w:lang w:val="en-US" w:eastAsia="zh-CN"/>
        </w:rPr>
        <w:t>相应限值要求及所在功能区要求。</w:t>
      </w:r>
    </w:p>
    <w:p>
      <w:pPr>
        <w:pStyle w:val="15"/>
        <w:keepNext w:val="0"/>
        <w:keepLines w:val="0"/>
        <w:pageBreakBefore w:val="0"/>
        <w:widowControl w:val="0"/>
        <w:suppressLineNumbers w:val="0"/>
        <w:suppressAutoHyphens w:val="0"/>
        <w:kinsoku/>
        <w:wordWrap/>
        <w:overflowPunct/>
        <w:topLinePunct w:val="0"/>
        <w:autoSpaceDE/>
        <w:autoSpaceDN/>
        <w:bidi w:val="0"/>
        <w:adjustRightInd w:val="0"/>
        <w:snapToGrid w:val="0"/>
        <w:spacing w:beforeAutospacing="0" w:afterAutospacing="0" w:line="580" w:lineRule="exact"/>
        <w:ind w:firstLineChars="200" w:firstLine="640"/>
        <w:textAlignment w:val="auto"/>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（四）按规范建设和使用事故油池，防止非正常情况下造成环境污染。项目产生的危险废物须按照相关法律法规要求交由有危险废物处置资质单位依法依规处置。</w:t>
      </w:r>
    </w:p>
    <w:p>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firstLineChars="200" w:firstLine="640"/>
        <w:textAlignment w:val="auto"/>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（五）</w:t>
      </w:r>
      <w:r>
        <w:rPr>
          <w:rFonts w:ascii="仿宋_GB2312" w:eastAsia="仿宋_GB2312" w:cs="仿宋_GB2312" w:hint="eastAsia"/>
          <w:color w:val="000000"/>
          <w:kern w:val="0"/>
          <w:sz w:val="32"/>
          <w:szCs w:val="32"/>
          <w:lang w:val="en-US" w:eastAsia="zh-CN"/>
        </w:rPr>
        <w:t>认真落实《报告表》中其他环境管理要求。</w:t>
      </w:r>
      <w:r>
        <w:rPr>
          <w:rFonts w:ascii="仿宋_GB2312" w:eastAsia="仿宋_GB2312" w:cs="仿宋_GB2312" w:hint="eastAsia"/>
          <w:snapToGrid w:val="0"/>
          <w:color w:val="000000"/>
          <w:kern w:val="0"/>
          <w:sz w:val="32"/>
          <w:szCs w:val="32"/>
          <w:lang w:val="en-US" w:eastAsia="zh-CN" w:bidi="ar-SA"/>
        </w:rPr>
        <w:t>如国家和地方另有更严格的相关法律法规、规章、标准、</w:t>
      </w:r>
      <w:r>
        <w:rPr>
          <w:rFonts w:ascii="仿宋_GB2312" w:eastAsia="仿宋_GB2312" w:cs="仿宋_GB2312" w:hint="eastAsia"/>
          <w:snapToGrid w:val="0"/>
          <w:color w:val="000000"/>
          <w:kern w:val="0"/>
          <w:sz w:val="32"/>
          <w:szCs w:val="32"/>
          <w:lang w:bidi="ar-SA"/>
        </w:rPr>
        <w:t>生态环境</w:t>
      </w:r>
      <w:r>
        <w:rPr>
          <w:rFonts w:ascii="仿宋_GB2312" w:eastAsia="仿宋_GB2312" w:cs="仿宋_GB2312" w:hint="eastAsia"/>
          <w:color w:val="000000"/>
          <w:kern w:val="0"/>
          <w:sz w:val="32"/>
          <w:szCs w:val="32"/>
        </w:rPr>
        <w:t>部门</w:t>
      </w:r>
      <w:r>
        <w:rPr>
          <w:rFonts w:ascii="仿宋_GB2312" w:eastAsia="仿宋_GB2312" w:cs="仿宋_GB2312" w:hint="eastAsia"/>
          <w:snapToGrid w:val="0"/>
          <w:color w:val="000000"/>
          <w:kern w:val="0"/>
          <w:sz w:val="32"/>
          <w:szCs w:val="32"/>
          <w:lang w:bidi="ar-SA"/>
        </w:rPr>
        <w:t>监督管理、</w:t>
      </w:r>
      <w:r>
        <w:rPr>
          <w:rFonts w:ascii="仿宋_GB2312" w:eastAsia="仿宋_GB2312" w:cs="仿宋_GB2312" w:hint="eastAsia"/>
          <w:color w:val="000000"/>
          <w:kern w:val="0"/>
          <w:sz w:val="32"/>
          <w:szCs w:val="32"/>
          <w:shd w:val="clear" w:color="auto" w:fill="FFFFFF"/>
        </w:rPr>
        <w:t>环境保护措施和环境保护管理</w:t>
      </w:r>
      <w:r>
        <w:rPr>
          <w:rFonts w:ascii="仿宋_GB2312" w:eastAsia="仿宋_GB2312" w:cs="仿宋_GB2312" w:hint="eastAsia"/>
          <w:color w:val="000000"/>
          <w:kern w:val="0"/>
          <w:sz w:val="32"/>
          <w:szCs w:val="32"/>
        </w:rPr>
        <w:t>等要求的，按最严格规定执行。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Chars="200" w:firstLine="640"/>
        <w:textAlignment w:val="auto"/>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三、</w:t>
      </w:r>
      <w:r>
        <w:rPr>
          <w:rFonts w:ascii="仿宋_GB2312" w:eastAsia="仿宋_GB2312" w:cs="仿宋_GB2312" w:hint="eastAsia"/>
          <w:snapToGrid w:val="0"/>
          <w:color w:val="000000"/>
          <w:kern w:val="0"/>
          <w:sz w:val="32"/>
          <w:szCs w:val="32"/>
        </w:rPr>
        <w:t>严格执行建设项目环境保护“三同时”制度。</w:t>
      </w:r>
      <w:r>
        <w:rPr>
          <w:rFonts w:ascii="仿宋_GB2312" w:eastAsia="仿宋_GB2312" w:cs="仿宋_GB2312" w:hint="eastAsia"/>
          <w:color w:val="000000"/>
          <w:kern w:val="0"/>
          <w:sz w:val="32"/>
          <w:szCs w:val="32"/>
        </w:rPr>
        <w:t>项目</w:t>
      </w:r>
      <w:r>
        <w:rPr>
          <w:rFonts w:ascii="仿宋_GB2312" w:eastAsia="仿宋_GB2312" w:cs="仿宋_GB2312" w:hint="eastAsia"/>
          <w:snapToGrid w:val="0"/>
          <w:color w:val="000000"/>
          <w:kern w:val="0"/>
          <w:sz w:val="32"/>
          <w:szCs w:val="32"/>
        </w:rPr>
        <w:t>竣工</w:t>
      </w:r>
      <w:r>
        <w:rPr>
          <w:rFonts w:ascii="仿宋_GB2312" w:eastAsia="仿宋_GB2312" w:cs="仿宋_GB2312" w:hint="eastAsia"/>
          <w:color w:val="000000"/>
          <w:kern w:val="0"/>
          <w:sz w:val="32"/>
          <w:szCs w:val="32"/>
        </w:rPr>
        <w:t>后，</w:t>
      </w:r>
      <w:r>
        <w:rPr>
          <w:rFonts w:ascii="仿宋_GB2312" w:eastAsia="仿宋_GB2312" w:cs="仿宋_GB2312" w:hint="eastAsia"/>
          <w:snapToGrid w:val="0"/>
          <w:color w:val="000000"/>
          <w:kern w:val="0"/>
          <w:sz w:val="32"/>
          <w:szCs w:val="32"/>
        </w:rPr>
        <w:t>须按规定开展环境保护设施竣工验收工作。</w:t>
      </w:r>
      <w:r>
        <w:rPr>
          <w:rFonts w:ascii="仿宋_GB2312" w:eastAsia="仿宋_GB2312" w:cs="仿宋_GB2312" w:hint="eastAsia"/>
          <w:color w:val="000000"/>
          <w:kern w:val="0"/>
          <w:sz w:val="32"/>
          <w:szCs w:val="32"/>
        </w:rPr>
        <w:t>验收合格后，项目方可正式投入生产或者使用；未经验收或者验收不合格的，不得投入生产或者使用。本项目环境影响评价文件经批准后，</w:t>
      </w:r>
      <w:r>
        <w:rPr>
          <w:rFonts w:ascii="仿宋_GB2312" w:eastAsia="仿宋_GB2312" w:cs="仿宋_GB2312" w:hint="eastAsia"/>
          <w:snapToGrid w:val="0"/>
          <w:color w:val="000000"/>
          <w:kern w:val="0"/>
          <w:sz w:val="32"/>
          <w:szCs w:val="32"/>
        </w:rPr>
        <w:t>项目发生重大变动的，</w:t>
      </w:r>
      <w:r>
        <w:rPr>
          <w:rFonts w:ascii="仿宋_GB2312" w:eastAsia="仿宋_GB2312" w:cs="仿宋_GB2312" w:hint="eastAsia"/>
          <w:color w:val="000000"/>
          <w:kern w:val="0"/>
          <w:sz w:val="32"/>
          <w:szCs w:val="32"/>
          <w:shd w:val="clear" w:color="auto" w:fill="FFFFFF"/>
        </w:rPr>
        <w:t>应按照相关法律法规的规定和要求，</w:t>
      </w:r>
      <w:r>
        <w:rPr>
          <w:rFonts w:ascii="仿宋_GB2312" w:eastAsia="仿宋_GB2312" w:cs="仿宋_GB2312" w:hint="eastAsia"/>
          <w:color w:val="000000"/>
          <w:kern w:val="0"/>
          <w:sz w:val="32"/>
          <w:szCs w:val="32"/>
          <w:shd w:val="clear" w:color="auto" w:fill="FFFFFF"/>
          <w:lang w:eastAsia="zh-CN"/>
        </w:rPr>
        <w:t>依法依规</w:t>
      </w:r>
      <w:r>
        <w:rPr>
          <w:rFonts w:ascii="仿宋_GB2312" w:eastAsia="仿宋_GB2312" w:cs="仿宋_GB2312" w:hint="eastAsia"/>
          <w:color w:val="000000"/>
          <w:kern w:val="0"/>
          <w:sz w:val="32"/>
          <w:szCs w:val="32"/>
          <w:shd w:val="clear" w:color="auto" w:fill="FFFFFF"/>
        </w:rPr>
        <w:t>重新报批本项目环境影响评价文件。自批复之日起五年后方决定开工建设的，须将环评文件报行政审批部门重新审核。</w:t>
      </w:r>
    </w:p>
    <w:p>
      <w:pPr>
        <w:keepNext w:val="0"/>
        <w:keepLines w:val="0"/>
        <w:pageBreakBefore w:val="0"/>
        <w:widowControl w:val="0"/>
        <w:suppressLineNumbers w:val="0"/>
        <w:suppressAutoHyphens w:val="0"/>
        <w:kinsoku/>
        <w:wordWrap/>
        <w:overflowPunct/>
        <w:topLinePunct w:val="0"/>
        <w:autoSpaceDE/>
        <w:autoSpaceDN/>
        <w:bidi w:val="0"/>
        <w:adjustRightInd w:val="0"/>
        <w:snapToGrid w:val="0"/>
        <w:spacing w:beforeAutospacing="0" w:afterAutospacing="0" w:line="580" w:lineRule="exact"/>
        <w:ind w:firstLineChars="200" w:firstLine="640"/>
        <w:textAlignment w:val="auto"/>
        <w:rPr>
          <w:rFonts w:ascii="仿宋_GB2312" w:eastAsia="仿宋_GB2312" w:cs="仿宋_GB2312" w:hint="eastAsia"/>
          <w:color w:val="000000"/>
          <w:kern w:val="0"/>
          <w:sz w:val="32"/>
          <w:szCs w:val="32"/>
          <w:shd w:val="clear" w:color="auto" w:fill="FFFFFF"/>
        </w:rPr>
      </w:pPr>
      <w:r>
        <w:rPr>
          <w:rFonts w:ascii="仿宋_GB2312" w:eastAsia="仿宋_GB2312" w:cs="仿宋_GB2312" w:hint="eastAsia"/>
          <w:color w:val="000000"/>
          <w:kern w:val="0"/>
          <w:sz w:val="32"/>
          <w:szCs w:val="32"/>
        </w:rPr>
        <w:t>四、你</w:t>
      </w:r>
      <w:r>
        <w:rPr>
          <w:rFonts w:ascii="仿宋_GB2312" w:eastAsia="仿宋_GB2312" w:cs="仿宋_GB2312" w:hint="eastAsia"/>
          <w:color w:val="000000"/>
          <w:kern w:val="0"/>
          <w:sz w:val="32"/>
          <w:szCs w:val="32"/>
          <w:lang w:val="en-US" w:eastAsia="zh-CN"/>
        </w:rPr>
        <w:t>公司</w:t>
      </w:r>
      <w:r>
        <w:rPr>
          <w:rFonts w:ascii="仿宋_GB2312" w:eastAsia="仿宋_GB2312" w:cs="仿宋_GB2312" w:hint="eastAsia"/>
          <w:color w:val="000000"/>
          <w:kern w:val="0"/>
          <w:sz w:val="32"/>
          <w:szCs w:val="32"/>
        </w:rPr>
        <w:t>在接到本批复后</w:t>
      </w:r>
      <w:r>
        <w:rPr>
          <w:rFonts w:ascii="仿宋_GB2312" w:eastAsia="仿宋_GB2312" w:cs="仿宋_GB2312" w:hint="eastAsia"/>
          <w:color w:val="000000"/>
          <w:kern w:val="0"/>
          <w:sz w:val="32"/>
          <w:szCs w:val="32"/>
          <w:shd w:val="clear" w:color="auto" w:fill="FFFFFF"/>
        </w:rPr>
        <w:t>的10个工作日内</w:t>
      </w:r>
      <w:r>
        <w:rPr>
          <w:rFonts w:ascii="仿宋_GB2312" w:eastAsia="仿宋_GB2312" w:cs="仿宋_GB2312" w:hint="eastAsia"/>
          <w:color w:val="000000"/>
          <w:kern w:val="0"/>
          <w:sz w:val="32"/>
          <w:szCs w:val="32"/>
        </w:rPr>
        <w:t>，须将《报告表》及其批复文件送至生态环境行政主管部门备案，</w:t>
      </w:r>
      <w:r>
        <w:rPr>
          <w:rFonts w:ascii="仿宋_GB2312" w:eastAsia="仿宋_GB2312" w:cs="仿宋_GB2312" w:hint="eastAsia"/>
          <w:color w:val="000000"/>
          <w:kern w:val="0"/>
          <w:sz w:val="32"/>
          <w:szCs w:val="32"/>
          <w:shd w:val="clear" w:color="auto" w:fill="FFFFFF"/>
        </w:rPr>
        <w:t>并按规定接受各级生态环境行政主管部门的监督检查。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firstLineChars="200" w:firstLine="640"/>
        <w:textAlignment w:val="auto"/>
        <w:rPr>
          <w:rFonts w:ascii="仿宋_GB2312" w:eastAsia="仿宋_GB2312" w:cs="仿宋_GB2312" w:hint="eastAsia"/>
          <w:color w:val="000000"/>
          <w:kern w:val="0"/>
          <w:sz w:val="32"/>
          <w:szCs w:val="32"/>
          <w:shd w:val="clear" w:color="auto" w:fill="FFFFFF"/>
          <w:lang w:val="en-US" w:eastAsia="zh-CN"/>
        </w:rPr>
      </w:pPr>
      <w:r>
        <w:rPr>
          <w:rFonts w:ascii="仿宋_GB2312" w:eastAsia="仿宋_GB2312" w:cs="仿宋_GB2312" w:hint="eastAsia"/>
          <w:snapToGrid w:val="0"/>
          <w:color w:val="000000"/>
          <w:kern w:val="0"/>
          <w:sz w:val="32"/>
          <w:szCs w:val="32"/>
          <w:shd w:val="clear" w:color="auto" w:fill="FFFFFF"/>
        </w:rPr>
        <w:t>五、本批复只适用于以上核与辐射类建设项目，其他如涉及非核与辐射类建设项目须按有关规定另行办理相关环保手续。</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Chars="200" w:firstLine="640"/>
        <w:textAlignment w:val="auto"/>
        <w:rPr>
          <w:rFonts w:ascii="仿宋_GB2312" w:eastAsia="仿宋_GB2312" w:cs="仿宋_GB2312" w:hint="eastAsia"/>
          <w:color w:val="000000"/>
          <w:kern w:val="0"/>
          <w:sz w:val="32"/>
          <w:szCs w:val="32"/>
          <w:shd w:val="clear" w:color="auto" w:fill="FFFFFF"/>
          <w:lang w:val="en-US" w:eastAsia="zh-CN"/>
        </w:rPr>
      </w:pPr>
    </w:p>
    <w:p>
      <w:pPr>
        <w:pStyle w:val="15"/>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420"/>
        <w:textAlignment w:val="auto"/>
        <w:rPr>
          <w:rFonts w:ascii="仿宋_GB2312" w:eastAsia="仿宋_GB2312" w:cs="仿宋_GB2312" w:hint="eastAsia"/>
          <w:color w:val="000000"/>
          <w:kern w:val="0"/>
          <w:sz w:val="32"/>
          <w:szCs w:val="32"/>
        </w:rPr>
      </w:pPr>
    </w:p>
    <w:p>
      <w:pPr>
        <w:pStyle w:val="15"/>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Chars="1500" w:firstLine="4800"/>
        <w:textAlignment w:val="auto"/>
        <w:rPr>
          <w:rFonts w:ascii="仿宋_GB2312" w:eastAsia="仿宋_GB2312" w:cs="仿宋_GB2312" w:hint="eastAsia"/>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秦皇岛市行政审批局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Chars="1600" w:firstLine="5120"/>
        <w:textAlignment w:val="auto"/>
        <w:rPr>
          <w:rFonts w:ascii="仿宋_GB2312" w:eastAsia="仿宋_GB2312" w:cs="仿宋_GB2312" w:hint="eastAsia"/>
          <w:color w:val="000000"/>
          <w:kern w:val="0"/>
          <w:sz w:val="32"/>
          <w:szCs w:val="32"/>
          <w:lang w:val="en-US" w:eastAsia="zh-CN"/>
        </w:rPr>
      </w:pPr>
      <w:r>
        <w:rPr>
          <w:rFonts w:ascii="仿宋_GB2312" w:eastAsia="仿宋_GB2312" w:cs="仿宋_GB2312" w:hint="eastAsia"/>
          <w:color w:val="000000"/>
          <w:kern w:val="0"/>
          <w:sz w:val="32"/>
          <w:szCs w:val="32"/>
          <w:shd w:val="clear" w:color="auto" w:fill="FFFFFF"/>
        </w:rPr>
        <w:t>202</w:t>
      </w:r>
      <w:r>
        <w:rPr>
          <w:rFonts w:ascii="仿宋_GB2312" w:eastAsia="仿宋_GB2312" w:cs="仿宋_GB2312" w:hint="eastAsia"/>
          <w:color w:val="000000"/>
          <w:kern w:val="0"/>
          <w:sz w:val="32"/>
          <w:szCs w:val="32"/>
          <w:shd w:val="clear" w:color="auto" w:fill="FFFFFF"/>
          <w:lang w:val="en-US" w:eastAsia="zh-CN"/>
        </w:rPr>
        <w:t>5</w:t>
      </w:r>
      <w:r>
        <w:rPr>
          <w:rFonts w:ascii="仿宋_GB2312" w:eastAsia="仿宋_GB2312" w:cs="仿宋_GB2312" w:hint="eastAsia"/>
          <w:color w:val="000000"/>
          <w:kern w:val="0"/>
          <w:sz w:val="32"/>
          <w:szCs w:val="32"/>
          <w:shd w:val="clear" w:color="auto" w:fill="FFFFFF"/>
        </w:rPr>
        <w:t>年</w:t>
      </w:r>
      <w:r>
        <w:rPr>
          <w:rFonts w:ascii="仿宋_GB2312" w:eastAsia="仿宋_GB2312" w:cs="仿宋_GB2312" w:hint="eastAsia"/>
          <w:color w:val="000000"/>
          <w:kern w:val="0"/>
          <w:sz w:val="32"/>
          <w:szCs w:val="32"/>
          <w:shd w:val="clear" w:color="auto" w:fill="FFFFFF"/>
          <w:lang w:val="en-US" w:eastAsia="zh-CN"/>
        </w:rPr>
        <w:t>9</w:t>
      </w:r>
      <w:r>
        <w:rPr>
          <w:rFonts w:ascii="仿宋_GB2312" w:eastAsia="仿宋_GB2312" w:cs="仿宋_GB2312" w:hint="eastAsia"/>
          <w:color w:val="000000"/>
          <w:kern w:val="0"/>
          <w:sz w:val="32"/>
          <w:szCs w:val="32"/>
          <w:shd w:val="clear" w:color="auto" w:fill="FFFFFF"/>
        </w:rPr>
        <w:t>月24日</w:t>
      </w:r>
    </w:p>
    <w:sectPr>
      <w:footerReference w:type="default" r:id="rId2"/>
      <w:pgSz w:w="11907" w:h="16840"/>
      <w:pgMar w:top="2098" w:right="1474" w:bottom="1985" w:left="1588" w:header="851" w:footer="992" w:gutter="0"/>
      <w:pgNumType w:fmt="numberInDash"/>
      <w:docGrid w:type="lines" w:linePitch="316"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0"/>
    <w:family w:val="auto"/>
    <w:pitch w:val="variable"/>
    <w:sig w:usb0="00000003" w:usb1="288F0000" w:usb2="00000006" w:usb3="00000000" w:csb0="00040001" w:csb1="00000000"/>
  </w:font>
  <w:font w:name="Times New Roman">
    <w:panose1 w:val="02020603050405020304"/>
    <w:charset w:val="86"/>
    <w:family w:val="roman"/>
    <w:pitch w:val="variable"/>
    <w:sig w:usb0="E0002AFF" w:usb1="C0007841" w:usb2="00000009" w:usb3="00000000" w:csb0="400001FF" w:csb1="FFFF0000"/>
  </w:font>
  <w:font w:name="仿宋_GB2312">
    <w:panose1 w:val="02010609030101010101"/>
    <w:charset w:val="86"/>
    <w:family w:val="modern"/>
    <w:pitch w:val="variable"/>
    <w:sig w:usb0="00000001" w:usb1="080E0000" w:usb2="00000000" w:usb3="00000000" w:csb0="00040000" w:csb1="00000000"/>
  </w:font>
  <w:font w:name="方正小标宋简体">
    <w:panose1 w:val="03000509000000000000"/>
    <w:charset w:val="86"/>
    <w:family w:val="auto"/>
    <w:pitch w:val="variable"/>
    <w:sig w:usb0="00000001" w:usb1="080E0000" w:usb2="00000000" w:usb3="00000000" w:csb0="00040000" w:csb1="00000000"/>
  </w:font>
  <w:font w:name="Arial">
    <w:panose1 w:val="020B0604020202020204"/>
    <w:charset w:val="00"/>
    <w:family w:val="auto"/>
    <w:pitch w:val="variable"/>
    <w:sig w:usb0="00007A87" w:usb1="80000000" w:usb2="00000008" w:usb3="00000000" w:csb0="400001FF" w:csb1="FFFF0000"/>
  </w:font>
  <w:font w:name="Calibri">
    <w:panose1 w:val="020F0502020204030204"/>
    <w:charset w:val="00"/>
    <w:family w:val="swiss"/>
    <w:pitch w:val="variable"/>
    <w:sig w:usb0="E00002FF" w:usb1="4000ACFF" w:usb2="00000001" w:usb3="00000000" w:csb0="2000019F" w:csb1="0000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mc:AlternateContent>
        <mc:Choice Requires="wps">
          <w:drawing>
            <wp:anchor distT="0" distB="0" distL="113664" distR="113664" simplePos="0" relativeHeight="19" behindDoc="0" locked="0" layoutInCell="1" hidden="0" allowOverlap="1">
              <wp:simplePos x="0" y="0"/>
              <wp:positionH relativeFrom="margin">
                <wp:align>outside</wp:align>
              </wp:positionH>
              <wp:positionV relativeFrom="paragraph">
                <wp:posOffset>0</wp:posOffset>
              </wp:positionV>
              <wp:extent cx="444500" cy="230505"/>
              <wp:wrapNone/>
              <wp:docPr id="1" name="_x0000_s2049"/>
              <wp:cNvGraphicFramePr>
                <a:graphicFrameLocks noChangeAspect="0"/>
              </wp:cNvGraphicFramePr>
              <a:graphic>
                <a:graphicData uri="http://schemas.microsoft.com/office/word/2010/wordprocessingShape">
                  <wps:wsp>
                    <wps:cNvSpPr/>
                    <wps:spPr>
                      <a:xfrm rot="0">
                        <a:off x="0" y="0"/>
                        <a:ext cx="444500" cy="230505"/>
                      </a:xfrm>
                      <a:prstGeom prst="rect"/>
                      <a:noFill/>
                      <a:ln w="9525" cmpd="sng" cap="flat">
                        <a:noFill/>
                        <a:prstDash val="solid"/>
                        <a:miter/>
                      </a:ln>
                    </wps:spPr>
                    <wps:txbx id="1">
                      <w:txbxContent>
                        <w:p>
                          <w:pPr>
                            <w:pStyle w:val="19"/>
                            <w:tabs>
                              <w:tab w:val="center" w:pos="4153"/>
                              <w:tab w:val="right" w:pos="8306"/>
                            </w:tabs>
                            <w:rPr>
                              <w:rFonts w:ascii="宋体" w:cs="宋体"/>
                              <w:sz w:val="28"/>
                              <w:szCs w:val="28"/>
                            </w:rPr>
                          </w:pP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sz w:val="28"/>
                              <w:szCs w:val="28"/>
                            </w:rPr>
                            <w:t>- 3 -</w:t>
                          </w:r>
                          <w:r>
                            <w:rPr>
                              <w:rFonts w:asci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rect type="#_x0000_t1" id="_x0000_s2049" o:spid="_x0000_s2" filled="f" stroked="f" style="position:absolute;margin-left:0.0pt;margin-top:0.0pt;width:35.0pt;height:18.15pt;z-index:19;mso-position-horizontal:outside;mso-position-horizontal-relative:margin;mso-position-vertical:absolute;mso-wrap-distance-left:8.949922pt;mso-wrap-distance-right:8.949922pt;mso-wrap-style:none;">
              <v:stroke/>
              <v:textbox id="848" inset="0mm,0mm,0mm,0mm" o:insetmode="custom" style="layout-flow:horizontal;v-text-anchor:top;mso-fit-shape-to-text:t;">
                <w:txbxContent>
                  <w:p>
                    <w:pPr>
                      <w:pStyle w:val="19"/>
                      <w:tabs>
                        <w:tab w:val="center" w:pos="4153"/>
                        <w:tab w:val="right" w:pos="8306"/>
                      </w:tabs>
                      <w:rPr>
                        <w:rFonts w:ascii="宋体" w:cs="宋体"/>
                        <w:sz w:val="28"/>
                        <w:szCs w:val="28"/>
                      </w:rPr>
                    </w:pP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sz w:val="28"/>
                        <w:szCs w:val="28"/>
                      </w:rPr>
                      <w:t>- 3 -</w:t>
                    </w:r>
                    <w:r>
                      <w:rPr>
                        <w:rFonts w:ascii="宋体" w:cs="宋体" w:hint="eastAsia"/>
                        <w:sz w:val="28"/>
                        <w:szCs w:val="28"/>
                      </w:rPr>
                      <w:fldChar w:fldCharType="end"/>
                    </w:r>
                  </w:p>
                </w:txbxContent>
              </v:textbox>
            </v:rect>
          </w:pict>
        </mc:Fallback>
      </mc:AlternateContent>
    </w:r>
    <w:r>
      <mc:AlternateContent>
        <mc:Choice Requires="wps">
          <w:drawing>
            <wp:anchor distT="0" distB="0" distL="113664" distR="113664" simplePos="0" relativeHeight="21" behindDoc="0" locked="0" layoutInCell="1" hidden="0" allowOverlap="1">
              <wp:simplePos x="0" y="0"/>
              <wp:positionH relativeFrom="margin">
                <wp:align>outside</wp:align>
              </wp:positionH>
              <wp:positionV relativeFrom="paragraph">
                <wp:posOffset>0</wp:posOffset>
              </wp:positionV>
              <wp:extent cx="76200" cy="139526"/>
              <wp:wrapNone/>
              <wp:docPr id="4" name="_x0000_s2050"/>
              <wp:cNvGraphicFramePr>
                <a:graphicFrameLocks noChangeAspect="0"/>
              </wp:cNvGraphicFramePr>
              <a:graphic>
                <a:graphicData uri="http://schemas.microsoft.com/office/word/2010/wordprocessingShape">
                  <wps:wsp>
                    <wps:cNvSpPr/>
                    <wps:spPr>
                      <a:xfrm rot="0">
                        <a:off x="0" y="0"/>
                        <a:ext cx="76200" cy="139526"/>
                      </a:xfrm>
                      <a:prstGeom prst="rect"/>
                      <a:noFill/>
                      <a:ln w="9525" cmpd="sng" cap="flat">
                        <a:noFill/>
                        <a:prstDash val="solid"/>
                        <a:miter/>
                      </a:ln>
                    </wps:spPr>
                    <wps:txbx id="3">
                      <w:txbxContent>
                        <w:p>
                          <w:pPr>
                            <w:pStyle w:val="19"/>
                            <w:tabs>
                              <w:tab w:val="center" w:pos="4153"/>
                              <w:tab w:val="right" w:pos="8306"/>
                            </w:tabs>
                          </w:pPr>
                        </w:p>
                      </w:txbxContent>
                    </wps:txbx>
                    <wps:bodyPr vert="horz" wrap="none" lIns="0" tIns="0" rIns="0" bIns="0" anchor="t" anchorCtr="0" upright="1">
                      <a:spAutoFit/>
                    </wps:bodyPr>
                  </wps:wsp>
                </a:graphicData>
              </a:graphic>
            </wp:anchor>
          </w:drawing>
        </mc:Choice>
        <mc:Fallback>
          <w:pict>
            <v:rect type="#_x0000_t1" id="_x0000_s2050" o:spid="_x0000_s4" filled="f" stroked="f" style="position:absolute;margin-left:0.0pt;margin-top:0.0pt;width:6.0pt;height:10.9862995pt;z-index:21;mso-position-horizontal:outside;mso-position-horizontal-relative:margin;mso-position-vertical:absolute;mso-wrap-distance-left:8.949922pt;mso-wrap-distance-right:8.949922pt;mso-wrap-style:none;">
              <v:stroke/>
              <v:textbox id="849" inset="0mm,0mm,0mm,0mm" o:insetmode="custom" style="layout-flow:horizontal;v-text-anchor:top;mso-fit-shape-to-text:t;">
                <w:txbxContent>
                  <w:p>
                    <w:pPr>
                      <w:pStyle w:val="19"/>
                      <w:tabs>
                        <w:tab w:val="center" w:pos="4153"/>
                        <w:tab w:val="right" w:pos="8306"/>
                      </w:tabs>
                    </w:pP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D50D3FA"/>
    <w:multiLevelType w:val="hybridMultilevel"/>
    <w:tmpl w:val="00000000"/>
    <w:lvl w:ilvl="0">
      <w:start w:val="1"/>
      <w:numFmt w:val="chineseCountingThousand"/>
      <w:lvlRestart w:val="0"/>
      <w:suff w:val="nothing"/>
      <w:lvlText w:val="%1、"/>
      <w:lvlJc w:val="left"/>
      <w:pPr>
        <w:ind w:left="0" w:hanging="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2"/>
  </w:compat>
  <w:docVars>
    <w:docVar w:name="commondata" w:val="eyJoZGlkIjoiMTM5MjczMTQyNjAwYmVmYTllMmM1MGM0MGU5MDlhZWEifQ=="/>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5"/>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widowControl w:val="0"/>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widowControl w:val="0"/>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styleId="15">
    <w:name w:val="Normal Indent"/>
    <w:qFormat/>
    <w:basedOn w:val="0"/>
    <w:next w:val="16"/>
    <w:pPr>
      <w:ind w:firstLine="420"/>
    </w:pPr>
  </w:style>
  <w:style w:type="paragraph" w:styleId="16">
    <w:name w:val="toc 1"/>
    <w:qFormat/>
    <w:basedOn w:val="0"/>
    <w:next w:val="0"/>
  </w:style>
  <w:style w:type="paragraph" w:styleId="17">
    <w:name w:val="Body Text"/>
    <w:qFormat/>
    <w:basedOn w:val="0"/>
    <w:next w:val="18"/>
    <w:rPr>
      <w:sz w:val="28"/>
    </w:rPr>
  </w:style>
  <w:style w:type="paragraph" w:customStyle="1" w:yozoId="4094" w:styleId="18">
    <w:name w:val="默认段落"/>
    <w:qFormat/>
    <w:pPr>
      <w:widowControl w:val="0"/>
      <w:jc w:val="both"/>
    </w:pPr>
    <w:rPr>
      <w:rFonts w:ascii="Calibri" w:eastAsia="宋体" w:cs="Times New Roman" w:hAnsi="Calibri"/>
      <w:kern w:val="2"/>
      <w:sz w:val="21"/>
      <w:szCs w:val="20"/>
      <w:lang w:val="en-US" w:eastAsia="zh-CN" w:bidi="ar-SA"/>
    </w:rPr>
  </w:style>
  <w:style w:type="paragraph" w:styleId="19">
    <w:name w:val="footer"/>
    <w:qFormat/>
    <w:basedOn w:val="0"/>
    <w:pPr>
      <w:tabs>
        <w:tab w:val="center" w:pos="4153"/>
        <w:tab w:val="right" w:pos="8306"/>
      </w:tabs>
      <w:snapToGrid w:val="0"/>
      <w:jc w:val="left"/>
    </w:pPr>
    <w:rPr>
      <w:sz w:val="18"/>
    </w:rPr>
  </w:style>
  <w:style w:type="paragraph" w:styleId="20">
    <w:name w:val="Normal (Web)"/>
    <w:qFormat/>
    <w:basedOn w:val="0"/>
    <w:pPr>
      <w:spacing w:before="100" w:beforeAutospacing="1" w:after="100" w:afterAutospacing="1"/>
      <w:jc w:val="left"/>
    </w:pPr>
    <w:rPr>
      <w:kern w:val="0"/>
      <w:sz w:val="24"/>
    </w:rPr>
  </w:style>
  <w:style w:type="paragraph" w:styleId="21">
    <w:name w:val="Body Text First Indent"/>
    <w:qFormat/>
    <w:basedOn w:val="0"/>
    <w:next w:val="16"/>
    <w:pPr>
      <w:widowControl w:val="0"/>
      <w:spacing w:after="120"/>
      <w:ind w:firstLineChars="100" w:firstLine="100"/>
      <w:jc w:val="both"/>
    </w:pPr>
    <w:rPr>
      <w:rFonts w:ascii="Calibri" w:eastAsia="宋体" w:cs="Times New Roman" w:hAnsi="Calibri"/>
      <w:kern w:val="2"/>
      <w:sz w:val="21"/>
      <w:szCs w:val="24"/>
      <w:lang w:val="en-US" w:eastAsia="zh-CN" w:bidi="ar-SA"/>
    </w:rPr>
  </w:style>
  <w:style w:type="paragraph" w:styleId="22">
    <w:name w:val="header"/>
    <w:qFormat/>
    <w:basedOn w:val="0"/>
    <w:pPr>
      <w:pBdr>
        <w:bottom w:val="single" w:sz="6" w:space="1" w:color="auto"/>
      </w:pBdr>
      <w:tabs>
        <w:tab w:val="center" w:pos="4153"/>
        <w:tab w:val="right" w:pos="8307"/>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3A655AD2-10C6-4ED1-B991-99398943998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170</TotalTime>
  <Application>WPS_Yozo_Office9.0.5978.102ZH.HE59</Application>
  <Pages>4</Pages>
  <Words>0</Words>
  <Characters>1275</Characters>
  <Lines>0</Lines>
  <Paragraphs>21</Paragraphs>
  <CharactersWithSpaces>1701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 秦审批环准许〔2025〕11-0006号</dc:title>
  <dc:creator>雯</dc:creator>
  <cp:lastModifiedBy>Administrator</cp:lastModifiedBy>
  <cp:revision>9</cp:revision>
  <cp:lastPrinted>2025-05-15T06:47:45Z</cp:lastPrinted>
  <dcterms:created xsi:type="dcterms:W3CDTF">2020-10-16T00:57:00Z</dcterms:created>
  <dcterms:modified xsi:type="dcterms:W3CDTF">2025-09-23T03:07:04Z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2052-11.8.2.8875</vt:lpwstr>
  </property>
  <property fmtid="{D5CDD505-2E9C-101B-9397-08002B2CF9AE}" pid="3" name="ICV">
    <vt:lpwstr>DC23FABB74764184BB4085C229852EBA</vt:lpwstr>
  </property>
</Properties>
</file>