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700" w:lineRule="exact"/>
        <w:rPr>
          <w:rFonts w:ascii="Times New Roman" w:cs="宋体" w:hAnsi="Times New Roman"/>
          <w:sz w:val="32"/>
          <w:szCs w:val="32"/>
        </w:rPr>
      </w:pPr>
    </w:p>
    <w:p>
      <w:pPr>
        <w:wordWrap w:val="0"/>
        <w:spacing w:line="700" w:lineRule="exact"/>
        <w:jc w:val="right"/>
        <w:rPr>
          <w:rFonts w:ascii="Times New Roman" w:eastAsia="仿宋_GB2312" w:cs="宋体" w:hAnsi="Times New Roman"/>
          <w:sz w:val="32"/>
          <w:szCs w:val="32"/>
        </w:rPr>
      </w:pPr>
      <w:r>
        <w:rPr>
          <w:rFonts w:ascii="Times New Roman" w:eastAsia="仿宋_GB2312" w:cs="仿宋_GB2312" w:hAnsi="Times New Roman" w:hint="eastAsia"/>
          <w:color w:val="000000"/>
          <w:sz w:val="32"/>
          <w:szCs w:val="32"/>
        </w:rPr>
        <w:t>秦审批环准许〔202</w:t>
      </w:r>
      <w:r>
        <w:rPr>
          <w:rFonts w:ascii="Times New Roman" w:eastAsia="仿宋_GB2312" w:cs="仿宋_GB2312" w:hAnsi="Times New Roman"/>
          <w:color w:val="000000"/>
          <w:sz w:val="32"/>
          <w:szCs w:val="32"/>
        </w:rPr>
        <w:t>5</w:t>
      </w:r>
      <w:r>
        <w:rPr>
          <w:rFonts w:ascii="Times New Roman" w:eastAsia="仿宋_GB2312" w:cs="仿宋_GB2312" w:hAnsi="Times New Roman" w:hint="eastAsia"/>
          <w:color w:val="000000"/>
          <w:sz w:val="32"/>
          <w:szCs w:val="32"/>
        </w:rPr>
        <w:t>〕</w:t>
      </w:r>
      <w:r>
        <w:rPr>
          <w:rFonts w:ascii="Times New Roman" w:eastAsia="仿宋_GB2312" w:cs="仿宋_GB2312" w:hAnsi="Times New Roman"/>
          <w:color w:val="000000"/>
          <w:sz w:val="32"/>
          <w:szCs w:val="32"/>
        </w:rPr>
        <w:t>11</w:t>
      </w:r>
      <w:r>
        <w:rPr>
          <w:rFonts w:ascii="Times New Roman" w:eastAsia="仿宋_GB2312" w:cs="仿宋_GB2312" w:hAnsi="Times New Roman" w:hint="eastAsia"/>
          <w:color w:val="000000"/>
          <w:sz w:val="32"/>
          <w:szCs w:val="32"/>
        </w:rPr>
        <w:t>-00</w:t>
      </w:r>
      <w:r>
        <w:rPr>
          <w:rFonts w:ascii="Times New Roman" w:eastAsia="仿宋_GB2312" w:cs="仿宋_GB2312" w:hAnsi="Times New Roman"/>
          <w:color w:val="000000"/>
          <w:sz w:val="32"/>
          <w:szCs w:val="32"/>
          <w:lang w:val="en-US" w:eastAsia="zh-CN"/>
        </w:rPr>
        <w:t>14</w:t>
      </w:r>
      <w:r>
        <w:rPr>
          <w:rFonts w:ascii="Times New Roman" w:eastAsia="仿宋_GB2312" w:cs="仿宋_GB2312" w:hAnsi="Times New Roman" w:hint="eastAsia"/>
          <w:color w:val="000000"/>
          <w:sz w:val="32"/>
          <w:szCs w:val="32"/>
        </w:rPr>
        <w:t>号</w:t>
      </w:r>
      <w:r>
        <w:rPr>
          <w:rFonts w:ascii="Times New Roman" w:eastAsia="仿宋_GB2312" w:cs="仿宋_GB2312" w:hAnsi="Times New Roman"/>
          <w:color w:val="000000"/>
          <w:sz w:val="32"/>
          <w:szCs w:val="32"/>
        </w:rPr>
        <w:t xml:space="preserve"> </w:t>
      </w:r>
    </w:p>
    <w:p>
      <w:pPr>
        <w:adjustRightInd w:val="0"/>
        <w:snapToGrid w:val="0"/>
        <w:spacing w:line="560" w:lineRule="exact"/>
        <w:jc w:val="center"/>
        <w:rPr>
          <w:rFonts w:ascii="方正小标宋简体" w:eastAsia="方正小标宋简体" w:cs="方正小标宋简体" w:hint="eastAsia"/>
          <w:color w:val="000000"/>
          <w:kern w:val="0"/>
          <w:sz w:val="44"/>
          <w:szCs w:val="44"/>
          <w:shd w:val="clear" w:color="auto" w:fill="FFFFFF"/>
        </w:rPr>
      </w:pPr>
      <w:r>
        <w:rPr>
          <w:rFonts w:ascii="方正小标宋简体" w:eastAsia="方正小标宋简体" w:cs="方正小标宋简体" w:hint="eastAsia"/>
          <w:color w:val="000000"/>
          <w:kern w:val="0"/>
          <w:sz w:val="44"/>
          <w:szCs w:val="44"/>
          <w:shd w:val="clear" w:color="auto" w:fill="FFFFFF"/>
        </w:rPr>
        <w:t>关于</w:t>
      </w:r>
      <w:bookmarkStart w:id="0" w:name="_Hlk48493511"/>
      <w:r>
        <w:rPr>
          <w:rFonts w:ascii="方正小标宋简体" w:eastAsia="方正小标宋简体" w:cs="方正小标宋简体" w:hint="eastAsia"/>
          <w:color w:val="000000"/>
          <w:kern w:val="0"/>
          <w:sz w:val="44"/>
          <w:szCs w:val="44"/>
          <w:shd w:val="clear" w:color="auto" w:fill="FFFFFF"/>
        </w:rPr>
        <w:t>《</w:t>
      </w:r>
      <w:r>
        <w:rPr>
          <w:rFonts w:ascii="方正小标宋简体" w:eastAsia="方正小标宋简体" w:cs="方正小标宋简体"/>
          <w:color w:val="000000"/>
          <w:kern w:val="0"/>
          <w:sz w:val="44"/>
          <w:szCs w:val="44"/>
          <w:shd w:val="clear" w:color="auto" w:fill="FFFFFF"/>
        </w:rPr>
        <w:t>秦皇岛市第一医院数字减影血管造影机应用项目</w:t>
      </w:r>
      <w:r>
        <w:rPr>
          <w:rFonts w:ascii="方正小标宋简体" w:eastAsia="方正小标宋简体" w:cs="方正小标宋简体" w:hint="eastAsia"/>
          <w:color w:val="000000"/>
          <w:kern w:val="0"/>
          <w:sz w:val="44"/>
          <w:szCs w:val="44"/>
        </w:rPr>
        <w:t>环境影响报告表》</w:t>
      </w:r>
      <w:bookmarkEnd w:id="0"/>
      <w:r>
        <w:rPr>
          <w:rFonts w:ascii="方正小标宋简体" w:eastAsia="方正小标宋简体" w:cs="方正小标宋简体" w:hint="eastAsia"/>
          <w:color w:val="000000"/>
          <w:kern w:val="0"/>
          <w:sz w:val="44"/>
          <w:szCs w:val="44"/>
          <w:shd w:val="clear" w:color="auto" w:fill="FFFFFF"/>
        </w:rPr>
        <w:t>的批复</w:t>
      </w:r>
    </w:p>
    <w:p>
      <w:pPr>
        <w:spacing w:line="560" w:lineRule="exact"/>
        <w:jc w:val="center"/>
        <w:rPr>
          <w:rFonts w:ascii="Times New Roman" w:eastAsia="仿宋_GB2312" w:cs="仿宋_GB2312" w:hAnsi="Times New Roman"/>
          <w:color w:val="000000"/>
          <w:kern w:val="0"/>
          <w:sz w:val="32"/>
          <w:szCs w:val="32"/>
          <w:shd w:val="clear" w:color="auto" w:fill="FFFFFF"/>
        </w:rPr>
      </w:pPr>
      <w:r>
        <w:rPr>
          <w:rFonts w:ascii="Times New Roman" w:eastAsia="方正小标宋简体" w:cs="方正小标宋简体" w:hAnsi="Times New Roman"/>
          <w:sz w:val="44"/>
          <w:szCs w:val="44"/>
        </w:rPr>
        <mc:AlternateContent>
          <mc:Choice Requires="wps">
            <w:drawing>
              <wp:anchor distT="0" distB="0" distL="114297" distR="114297" simplePos="0" relativeHeight="15" behindDoc="0" locked="0" layoutInCell="0" hidden="1" allowOverlap="1">
                <wp:simplePos x="0" y="0"/>
                <wp:positionH relativeFrom="page">
                  <wp:posOffset>735330</wp:posOffset>
                </wp:positionH>
                <wp:positionV relativeFrom="page">
                  <wp:posOffset>9936480</wp:posOffset>
                </wp:positionV>
                <wp:extent cx="6083935" cy="951"/>
                <wp:wrapTopAndBottom/>
                <wp:docPr id="7" name="_x0000_s1026" hidden="1"/>
                <wp:cNvGraphicFramePr>
                  <a:graphicFrameLocks noChangeAspect="0"/>
                </wp:cNvGraphicFramePr>
                <a:graphic>
                  <a:graphicData uri="http://schemas.microsoft.com/office/word/2010/wordprocessingShape">
                    <wps:wsp>
                      <wps:cNvSpPr/>
                      <wps:spPr>
                        <a:xfrm rot="0">
                          <a:off x="0" y="0"/>
                          <a:ext cx="6083935" cy="951"/>
                        </a:xfrm>
                        <a:prstGeom prst="line"/>
                        <a:noFill/>
                        <a:ln w="69850" cmpd="thinThick" cap="flat">
                          <a:solidFill>
                            <a:srgbClr val="FF0000"/>
                          </a:solidFill>
                          <a:prstDash val="solid"/>
                          <a:miter/>
                        </a:ln>
                      </wps:spPr>
                      <wps:bodyPr vert="horz" wrap="square" lIns="91440" tIns="45720" rIns="91440" bIns="45720" anchor="t" anchorCtr="0" upright="1">
                        <a:noAutofit/>
                      </wps:bodyPr>
                    </wps:wsp>
                  </a:graphicData>
                </a:graphic>
              </wp:anchor>
            </w:drawing>
          </mc:Choice>
          <mc:Fallback>
            <w:pict>
              <v:line type="#_x0000_t20" id="_x0000_s1026" o:spid="_x0000_s5" from="57.9pt,782.4pt" to="536.95pt,782.4749pt" filled="f" stroked="t" strokeweight="5.5pt" o:allowincell="f" style="position:absolute;z-index:15;mso-position-horizontal:absolute;mso-position-horizontal-relative:page;mso-position-vertical:absolute;mso-position-vertical-relative:page;mso-wrap-distance-left:8.9997635pt;mso-wrap-distance-right:8.9997635pt;visibility:hidden;">
                <v:stroke linestyle="thinThick" color="#FF0000"/>
                <w10:wrap type="topAndBottom"/>
              </v:line>
            </w:pict>
          </mc:Fallback>
        </mc:AlternateContent>
      </w:r>
      <w:r>
        <w:rPr>
          <w:rFonts w:ascii="Times New Roman" w:eastAsia="方正小标宋简体" w:cs="方正小标宋简体" w:hAnsi="Times New Roman"/>
          <w:sz w:val="44"/>
          <w:szCs w:val="44"/>
        </w:rPr>
        <mc:AlternateContent>
          <mc:Choice Requires="wps">
            <w:drawing>
              <wp:anchor distT="0" distB="0" distL="114297" distR="114297" simplePos="0" relativeHeight="17" behindDoc="0" locked="0" layoutInCell="0" hidden="1" allowOverlap="1">
                <wp:simplePos x="0" y="0"/>
                <wp:positionH relativeFrom="column">
                  <wp:posOffset>-274320</wp:posOffset>
                </wp:positionH>
                <wp:positionV relativeFrom="margin">
                  <wp:posOffset>445134</wp:posOffset>
                </wp:positionV>
                <wp:extent cx="6083934" cy="952"/>
                <wp:wrapTopAndBottom/>
                <wp:docPr id="9" name="_x0000_s1027" hidden="1"/>
                <wp:cNvGraphicFramePr>
                  <a:graphicFrameLocks noChangeAspect="0"/>
                </wp:cNvGraphicFramePr>
                <a:graphic>
                  <a:graphicData uri="http://schemas.microsoft.com/office/word/2010/wordprocessingShape">
                    <wps:wsp>
                      <wps:cNvSpPr/>
                      <wps:spPr>
                        <a:xfrm rot="0">
                          <a:off x="0" y="0"/>
                          <a:ext cx="6083934" cy="952"/>
                        </a:xfrm>
                        <a:prstGeom prst="line"/>
                        <a:noFill/>
                        <a:ln w="69850" cmpd="thickThin" cap="flat">
                          <a:solidFill>
                            <a:srgbClr val="FF0000"/>
                          </a:solidFill>
                          <a:prstDash val="solid"/>
                          <a:miter/>
                        </a:ln>
                      </wps:spPr>
                      <wps:bodyPr vert="horz" wrap="square" lIns="91440" tIns="45720" rIns="91440" bIns="45720" anchor="t" anchorCtr="0" upright="1">
                        <a:noAutofit/>
                      </wps:bodyPr>
                    </wps:wsp>
                  </a:graphicData>
                </a:graphic>
              </wp:anchor>
            </w:drawing>
          </mc:Choice>
          <mc:Fallback>
            <w:pict>
              <v:line type="#_x0000_t20" id="_x0000_s1027" o:spid="_x0000_s6" from="-21.6pt,35.049923pt" to="457.44995pt,35.124886pt" filled="f" stroked="t" strokeweight="5.5pt" o:allowincell="f" style="position:absolute;z-index:17;mso-position-horizontal:absolute;mso-position-vertical:absolute;mso-position-vertical-relative:margin;mso-wrap-distance-left:8.9997635pt;mso-wrap-distance-right:8.9997635pt;visibility:hidden;">
                <v:stroke linestyle="thickThin" color="#FF0000"/>
                <w10:wrap type="topAndBottom"/>
              </v:line>
            </w:pict>
          </mc:Fallback>
        </mc:AlternateContent>
      </w:r>
    </w:p>
    <w:p>
      <w:pPr>
        <w:keepNext w:val="0"/>
        <w:keepLines w:val="0"/>
        <w:pageBreakBefore w:val="0"/>
        <w:widowControl w:val="0"/>
        <w:kinsoku/>
        <w:wordWrap/>
        <w:overflowPunct w:val="0"/>
        <w:topLinePunct w:val="0"/>
        <w:autoSpaceDE/>
        <w:autoSpaceDN/>
        <w:adjustRightInd w:val="0"/>
        <w:snapToGrid w:val="0"/>
        <w:spacing w:beforeAutospacing="0" w:afterAutospacing="0" w:line="520" w:lineRule="exact"/>
        <w:rPr>
          <w:rFonts w:ascii="仿宋_GB2312" w:eastAsia="仿宋_GB2312" w:cs="仿宋_GB2312" w:hint="eastAsia"/>
          <w:snapToGrid w:val="0"/>
          <w:color w:val="000000"/>
          <w:kern w:val="0"/>
          <w:sz w:val="32"/>
          <w:szCs w:val="32"/>
        </w:rPr>
      </w:pPr>
      <w:r>
        <w:rPr>
          <w:rFonts w:ascii="仿宋_GB2312" w:eastAsia="仿宋_GB2312" w:cs="仿宋_GB2312"/>
          <w:bCs/>
          <w:snapToGrid w:val="0"/>
          <w:color w:val="000000"/>
          <w:kern w:val="0"/>
          <w:sz w:val="32"/>
          <w:szCs w:val="32"/>
        </w:rPr>
        <w:t>秦皇岛市第一医院</w:t>
      </w:r>
      <w:r>
        <w:rPr>
          <w:rFonts w:ascii="仿宋_GB2312" w:eastAsia="仿宋_GB2312" w:cs="仿宋_GB2312" w:hint="eastAsia"/>
          <w:snapToGrid w:val="0"/>
          <w:color w:val="000000"/>
          <w:kern w:val="0"/>
          <w:sz w:val="32"/>
          <w:szCs w:val="32"/>
        </w:rPr>
        <w:t>:</w:t>
      </w:r>
    </w:p>
    <w:p>
      <w:pPr>
        <w:keepNext w:val="0"/>
        <w:keepLines w:val="0"/>
        <w:pageBreakBefore w:val="0"/>
        <w:widowControl w:val="0"/>
        <w:kinsoku/>
        <w:wordWrap/>
        <w:overflowPunct w:val="0"/>
        <w:topLinePunct w:val="0"/>
        <w:autoSpaceDE/>
        <w:autoSpaceDN/>
        <w:adjustRightInd w:val="0"/>
        <w:snapToGrid w:val="0"/>
        <w:spacing w:line="520" w:lineRule="exact"/>
        <w:ind w:firstLineChars="200" w:firstLine="640"/>
        <w:rPr>
          <w:rFonts w:ascii="仿宋_GB2312" w:eastAsia="仿宋_GB2312" w:cs="仿宋_GB2312" w:hint="eastAsia"/>
          <w:snapToGrid w:val="0"/>
          <w:color w:val="000000"/>
          <w:kern w:val="0"/>
          <w:sz w:val="32"/>
          <w:szCs w:val="32"/>
          <w:lang w:val="en-US" w:eastAsia="zh-CN"/>
        </w:rPr>
      </w:pPr>
      <w:r>
        <w:rPr>
          <w:rFonts w:ascii="仿宋_GB2312" w:eastAsia="仿宋_GB2312" w:cs="仿宋_GB2312" w:hint="eastAsia"/>
          <w:snapToGrid w:val="0"/>
          <w:color w:val="000000"/>
          <w:kern w:val="0"/>
          <w:sz w:val="32"/>
          <w:szCs w:val="32"/>
          <w:lang w:val="en-US" w:eastAsia="zh-CN"/>
        </w:rPr>
        <w:t>所报《</w:t>
      </w:r>
      <w:r>
        <w:rPr>
          <w:rFonts w:ascii="仿宋_GB2312" w:eastAsia="仿宋_GB2312" w:cs="仿宋_GB2312"/>
          <w:snapToGrid w:val="0"/>
          <w:color w:val="000000"/>
          <w:kern w:val="0"/>
          <w:sz w:val="32"/>
          <w:szCs w:val="32"/>
          <w:lang w:val="en-US" w:eastAsia="zh-CN"/>
        </w:rPr>
        <w:t>秦皇岛市第一医院数字减影血管造影机应用项目</w:t>
      </w:r>
      <w:r>
        <w:rPr>
          <w:rFonts w:ascii="仿宋_GB2312" w:eastAsia="仿宋_GB2312" w:cs="仿宋_GB2312" w:hint="eastAsia"/>
          <w:snapToGrid w:val="0"/>
          <w:color w:val="000000"/>
          <w:kern w:val="0"/>
          <w:sz w:val="32"/>
          <w:szCs w:val="32"/>
          <w:lang w:val="en-US" w:eastAsia="zh-CN"/>
        </w:rPr>
        <w:t>环境影响报告表》(以下简称《报告表》)</w:t>
      </w:r>
      <w:r>
        <w:rPr>
          <w:rFonts w:ascii="仿宋_GB2312" w:eastAsia="仿宋_GB2312" w:cs="仿宋_GB2312" w:hint="eastAsia"/>
          <w:color w:val="000000"/>
          <w:kern w:val="0"/>
          <w:sz w:val="32"/>
          <w:szCs w:val="32"/>
        </w:rPr>
        <w:t>审批申请</w:t>
      </w:r>
      <w:r>
        <w:rPr>
          <w:rFonts w:ascii="仿宋_GB2312" w:eastAsia="仿宋_GB2312" w:cs="仿宋_GB2312" w:hint="eastAsia"/>
          <w:snapToGrid w:val="0"/>
          <w:color w:val="000000"/>
          <w:kern w:val="0"/>
          <w:sz w:val="32"/>
          <w:szCs w:val="32"/>
          <w:lang w:val="en-US" w:eastAsia="zh-CN"/>
        </w:rPr>
        <w:t>及相关申报材料收悉。</w:t>
      </w:r>
      <w:r>
        <w:rPr>
          <w:rFonts w:ascii="仿宋_GB2312" w:eastAsia="仿宋_GB2312" w:cs="仿宋_GB2312" w:hint="eastAsia"/>
          <w:color w:val="000000"/>
          <w:kern w:val="0"/>
          <w:sz w:val="32"/>
          <w:szCs w:val="32"/>
        </w:rPr>
        <w:t>结合</w:t>
      </w:r>
      <w:r>
        <w:rPr>
          <w:rFonts w:ascii="仿宋_GB2312" w:eastAsia="仿宋_GB2312" w:cs="仿宋_GB2312" w:hint="eastAsia"/>
          <w:snapToGrid w:val="0"/>
          <w:color w:val="000000"/>
          <w:kern w:val="0"/>
          <w:sz w:val="32"/>
          <w:szCs w:val="32"/>
          <w:lang w:val="en-US" w:eastAsia="zh-CN"/>
        </w:rPr>
        <w:t>《</w:t>
      </w:r>
      <w:r>
        <w:rPr>
          <w:rFonts w:ascii="仿宋_GB2312" w:eastAsia="仿宋_GB2312" w:cs="仿宋_GB2312"/>
          <w:snapToGrid w:val="0"/>
          <w:color w:val="000000"/>
          <w:kern w:val="0"/>
          <w:sz w:val="32"/>
          <w:szCs w:val="32"/>
          <w:lang w:val="en-US" w:eastAsia="zh-CN"/>
        </w:rPr>
        <w:t>秦皇岛市第一医院数字减影血管造影机应用项目环境影响报告表技术评估意见</w:t>
      </w:r>
      <w:r>
        <w:rPr>
          <w:rFonts w:ascii="仿宋_GB2312" w:eastAsia="仿宋_GB2312" w:cs="仿宋_GB2312" w:hint="eastAsia"/>
          <w:snapToGrid w:val="0"/>
          <w:color w:val="000000"/>
          <w:kern w:val="0"/>
          <w:sz w:val="32"/>
          <w:szCs w:val="32"/>
          <w:lang w:val="en-US" w:eastAsia="zh-CN"/>
        </w:rPr>
        <w:t>》</w:t>
      </w:r>
      <w:r>
        <w:rPr>
          <w:rFonts w:ascii="仿宋_GB2312" w:eastAsia="仿宋_GB2312" w:cs="仿宋_GB2312" w:hint="eastAsia"/>
          <w:color w:val="000000"/>
          <w:spacing w:val="0"/>
          <w:kern w:val="0"/>
          <w:sz w:val="32"/>
          <w:szCs w:val="32"/>
          <w:lang w:eastAsia="zh-CN"/>
        </w:rPr>
        <w:t>（</w:t>
      </w:r>
      <w:r>
        <w:rPr>
          <w:rFonts w:ascii="仿宋_GB2312" w:eastAsia="仿宋_GB2312" w:cs="仿宋_GB2312"/>
          <w:color w:val="000000"/>
          <w:spacing w:val="0"/>
          <w:kern w:val="0"/>
          <w:sz w:val="32"/>
          <w:szCs w:val="32"/>
          <w:lang w:eastAsia="zh-CN"/>
        </w:rPr>
        <w:t>超泰</w:t>
      </w:r>
      <w:r>
        <w:rPr>
          <w:rFonts w:ascii="仿宋_GB2312" w:eastAsia="仿宋_GB2312" w:cs="仿宋_GB2312" w:hint="eastAsia"/>
          <w:color w:val="000000"/>
          <w:spacing w:val="0"/>
          <w:kern w:val="0"/>
          <w:sz w:val="32"/>
          <w:szCs w:val="32"/>
          <w:lang w:eastAsia="zh-CN"/>
        </w:rPr>
        <w:t>环评[202</w:t>
      </w:r>
      <w:r>
        <w:rPr>
          <w:rFonts w:ascii="仿宋_GB2312" w:eastAsia="仿宋_GB2312" w:cs="仿宋_GB2312"/>
          <w:color w:val="000000"/>
          <w:spacing w:val="0"/>
          <w:kern w:val="0"/>
          <w:sz w:val="32"/>
          <w:szCs w:val="32"/>
          <w:lang w:eastAsia="zh-CN"/>
        </w:rPr>
        <w:t>5</w:t>
      </w:r>
      <w:r>
        <w:rPr>
          <w:rFonts w:ascii="仿宋_GB2312" w:eastAsia="仿宋_GB2312" w:cs="仿宋_GB2312" w:hint="eastAsia"/>
          <w:color w:val="000000"/>
          <w:spacing w:val="0"/>
          <w:kern w:val="0"/>
          <w:sz w:val="32"/>
          <w:szCs w:val="32"/>
          <w:lang w:eastAsia="zh-CN"/>
        </w:rPr>
        <w:t>]0</w:t>
      </w:r>
      <w:r>
        <w:rPr>
          <w:rFonts w:ascii="仿宋_GB2312" w:eastAsia="仿宋_GB2312" w:cs="仿宋_GB2312"/>
          <w:color w:val="000000"/>
          <w:spacing w:val="0"/>
          <w:kern w:val="0"/>
          <w:sz w:val="32"/>
          <w:szCs w:val="32"/>
          <w:lang w:eastAsia="zh-CN"/>
        </w:rPr>
        <w:t>04</w:t>
      </w:r>
      <w:r>
        <w:rPr>
          <w:rFonts w:ascii="仿宋_GB2312" w:eastAsia="仿宋_GB2312" w:cs="仿宋_GB2312" w:hint="eastAsia"/>
          <w:color w:val="000000"/>
          <w:spacing w:val="0"/>
          <w:kern w:val="0"/>
          <w:sz w:val="32"/>
          <w:szCs w:val="32"/>
          <w:lang w:eastAsia="zh-CN"/>
        </w:rPr>
        <w:t>号）</w:t>
      </w:r>
      <w:r>
        <w:rPr>
          <w:rFonts w:ascii="仿宋_GB2312" w:eastAsia="仿宋_GB2312" w:cs="仿宋_GB2312" w:hint="eastAsia"/>
          <w:snapToGrid w:val="0"/>
          <w:color w:val="000000"/>
          <w:kern w:val="0"/>
          <w:sz w:val="32"/>
          <w:szCs w:val="32"/>
          <w:lang w:val="en-US" w:eastAsia="zh-CN"/>
        </w:rPr>
        <w:t>，经研究，现批复如下：</w:t>
      </w:r>
    </w:p>
    <w:p>
      <w:pPr>
        <w:keepNext w:val="0"/>
        <w:keepLines w:val="0"/>
        <w:pageBreakBefore w:val="0"/>
        <w:widowControl w:val="0"/>
        <w:kinsoku/>
        <w:wordWrap/>
        <w:overflowPunct w:val="0"/>
        <w:topLinePunct w:val="0"/>
        <w:autoSpaceDE/>
        <w:autoSpaceDN/>
        <w:adjustRightInd w:val="0"/>
        <w:snapToGrid w:val="0"/>
        <w:spacing w:beforeAutospacing="0" w:afterAutospacing="0" w:line="520" w:lineRule="exact"/>
        <w:ind w:left="0" w:firstLineChars="200" w:firstLine="640"/>
        <w:rPr>
          <w:szCs w:val="32"/>
        </w:rPr>
      </w:pPr>
      <w:r>
        <w:rPr>
          <w:rFonts w:ascii="仿宋_GB2312" w:eastAsia="仿宋_GB2312" w:cs="仿宋_GB2312"/>
          <w:snapToGrid w:val="0"/>
          <w:color w:val="000000"/>
          <w:kern w:val="0"/>
          <w:sz w:val="32"/>
          <w:szCs w:val="32"/>
          <w:shd w:val="clear" w:color="auto" w:fill="FFFFFF"/>
          <w:lang w:val="en-US" w:eastAsia="zh-CN"/>
        </w:rPr>
        <w:t>一、</w:t>
      </w:r>
      <w:r>
        <w:rPr>
          <w:rFonts w:ascii="仿宋_GB2312" w:eastAsia="仿宋_GB2312" w:cs="仿宋_GB2312" w:hint="eastAsia"/>
          <w:snapToGrid w:val="0"/>
          <w:color w:val="000000"/>
          <w:kern w:val="0"/>
          <w:sz w:val="32"/>
          <w:szCs w:val="32"/>
          <w:shd w:val="clear" w:color="auto" w:fill="FFFFFF"/>
          <w:lang w:val="en-US" w:eastAsia="zh-CN"/>
        </w:rPr>
        <w:t>项目主要建设内容及总体要求。</w:t>
      </w:r>
      <w:r>
        <w:rPr>
          <w:rFonts w:ascii="仿宋_GB2312" w:eastAsia="仿宋_GB2312" w:cs="仿宋_GB2312"/>
          <w:bCs/>
          <w:snapToGrid w:val="0"/>
          <w:color w:val="000000"/>
          <w:kern w:val="0"/>
          <w:sz w:val="32"/>
          <w:szCs w:val="32"/>
        </w:rPr>
        <w:t>秦皇岛市第一医院</w:t>
      </w:r>
      <w:r>
        <w:rPr>
          <w:rFonts w:ascii="仿宋_GB2312" w:eastAsia="仿宋_GB2312" w:cs="仿宋_GB2312" w:hint="eastAsia"/>
          <w:snapToGrid w:val="0"/>
          <w:color w:val="000000"/>
          <w:kern w:val="0"/>
          <w:sz w:val="32"/>
          <w:szCs w:val="32"/>
          <w:shd w:val="clear" w:color="auto" w:fill="FFFFFF"/>
        </w:rPr>
        <w:t>位于</w:t>
      </w:r>
      <w:r>
        <w:rPr>
          <w:rFonts w:ascii="仿宋_GB2312" w:eastAsia="仿宋_GB2312" w:cs="仿宋_GB2312"/>
          <w:snapToGrid w:val="0"/>
          <w:color w:val="000000"/>
          <w:kern w:val="0"/>
          <w:sz w:val="32"/>
          <w:szCs w:val="32"/>
          <w:shd w:val="clear" w:color="auto" w:fill="FFFFFF"/>
        </w:rPr>
        <w:t>秦皇岛市海港区文化路258号。</w:t>
      </w:r>
      <w:r>
        <w:rPr>
          <w:rFonts w:ascii="仿宋_GB2312" w:eastAsia="仿宋_GB2312" w:cs="仿宋_GB2312" w:hint="eastAsia"/>
          <w:snapToGrid w:val="0"/>
          <w:color w:val="000000"/>
          <w:kern w:val="0"/>
          <w:sz w:val="32"/>
          <w:szCs w:val="32"/>
          <w:shd w:val="clear" w:color="auto" w:fill="FFFFFF"/>
        </w:rPr>
        <w:t>本项目拟新增使用1台</w:t>
      </w:r>
      <w:r>
        <w:rPr>
          <w:rFonts w:ascii="仿宋_GB2312" w:eastAsia="仿宋_GB2312" w:cs="仿宋_GB2312"/>
          <w:snapToGrid w:val="0"/>
          <w:color w:val="000000"/>
          <w:kern w:val="0"/>
          <w:sz w:val="32"/>
          <w:szCs w:val="32"/>
          <w:shd w:val="clear" w:color="auto" w:fill="FFFFFF"/>
        </w:rPr>
        <w:t>数字减影血管造影机（</w:t>
      </w:r>
      <w:r>
        <w:rPr>
          <w:rFonts w:ascii="仿宋_GB2312" w:eastAsia="仿宋_GB2312" w:cs="仿宋_GB2312"/>
          <w:bCs/>
          <w:snapToGrid w:val="0"/>
          <w:color w:val="000000"/>
          <w:kern w:val="0"/>
          <w:sz w:val="32"/>
          <w:szCs w:val="32"/>
          <w:shd w:val="clear" w:color="auto" w:fill="FFFFFF"/>
        </w:rPr>
        <w:t>最大管电压125kV、最大管电流</w:t>
      </w:r>
      <w:bookmarkStart w:id="1" w:name="_GoBack"/>
      <w:bookmarkEnd w:id="1"/>
      <w:r>
        <w:rPr>
          <w:rFonts w:ascii="仿宋_GB2312" w:eastAsia="仿宋_GB2312" w:cs="仿宋_GB2312"/>
          <w:bCs/>
          <w:snapToGrid w:val="0"/>
          <w:color w:val="000000"/>
          <w:kern w:val="0"/>
          <w:sz w:val="32"/>
          <w:szCs w:val="32"/>
          <w:shd w:val="clear" w:color="auto" w:fill="FFFFFF"/>
        </w:rPr>
        <w:t>为1000mA，</w:t>
      </w:r>
      <w:r>
        <w:rPr>
          <w:rFonts w:ascii="仿宋_GB2312" w:eastAsia="仿宋_GB2312" w:cs="仿宋_GB2312" w:hint="eastAsia"/>
          <w:snapToGrid w:val="0"/>
          <w:color w:val="000000"/>
          <w:kern w:val="0"/>
          <w:sz w:val="32"/>
          <w:szCs w:val="32"/>
          <w:shd w:val="clear" w:color="auto" w:fill="FFFFFF"/>
        </w:rPr>
        <w:t>属于Ⅱ类射线装置</w:t>
      </w:r>
      <w:r>
        <w:rPr>
          <w:rFonts w:ascii="仿宋_GB2312" w:eastAsia="仿宋_GB2312" w:cs="仿宋_GB2312"/>
          <w:snapToGrid w:val="0"/>
          <w:color w:val="000000"/>
          <w:kern w:val="0"/>
          <w:sz w:val="32"/>
          <w:szCs w:val="32"/>
          <w:shd w:val="clear" w:color="auto" w:fill="FFFFFF"/>
        </w:rPr>
        <w:t>），</w:t>
      </w:r>
      <w:r>
        <w:rPr>
          <w:rFonts w:ascii="仿宋_GB2312" w:eastAsia="仿宋_GB2312" w:cs="仿宋_GB2312"/>
          <w:bCs/>
          <w:snapToGrid w:val="0"/>
          <w:color w:val="000000"/>
          <w:kern w:val="0"/>
          <w:sz w:val="32"/>
          <w:szCs w:val="32"/>
          <w:shd w:val="clear" w:color="auto" w:fill="FFFFFF"/>
        </w:rPr>
        <w:t>主要用于放射诊断。</w:t>
      </w:r>
      <w:r>
        <w:rPr>
          <w:rFonts w:ascii="仿宋_GB2312" w:eastAsia="仿宋_GB2312" w:cs="仿宋_GB2312"/>
          <w:snapToGrid w:val="0"/>
          <w:color w:val="000000"/>
          <w:kern w:val="0"/>
          <w:sz w:val="32"/>
          <w:szCs w:val="32"/>
          <w:shd w:val="clear" w:color="auto" w:fill="FFFFFF"/>
        </w:rPr>
        <w:t>同时改造</w:t>
      </w:r>
      <w:r>
        <w:rPr>
          <w:rFonts w:ascii="仿宋_GB2312" w:eastAsia="仿宋_GB2312" w:cs="仿宋_GB2312"/>
          <w:bCs/>
          <w:snapToGrid w:val="0"/>
          <w:color w:val="000000"/>
          <w:kern w:val="0"/>
          <w:sz w:val="32"/>
          <w:szCs w:val="32"/>
        </w:rPr>
        <w:t>秦皇岛市第一医院医技楼一层西侧美容科办公室作为本项目DSA机房</w:t>
      </w:r>
      <w:r>
        <w:rPr>
          <w:rFonts w:ascii="仿宋_GB2312" w:eastAsia="仿宋_GB2312" w:cs="仿宋_GB2312"/>
          <w:bCs/>
          <w:snapToGrid w:val="0"/>
          <w:color w:val="000000"/>
          <w:kern w:val="0"/>
          <w:sz w:val="32"/>
          <w:szCs w:val="32"/>
          <w:shd w:val="clear" w:color="auto" w:fill="FFFFFF"/>
        </w:rPr>
        <w:t>。</w:t>
      </w:r>
      <w:r>
        <w:rPr>
          <w:rFonts w:ascii="仿宋_GB2312" w:eastAsia="仿宋_GB2312" w:cs="仿宋_GB2312" w:hint="eastAsia"/>
          <w:snapToGrid w:val="0"/>
          <w:color w:val="000000"/>
          <w:kern w:val="0"/>
          <w:sz w:val="32"/>
          <w:szCs w:val="32"/>
          <w:shd w:val="clear" w:color="auto" w:fill="FFFFFF"/>
        </w:rPr>
        <w:t>项目总投资为</w:t>
      </w:r>
      <w:r>
        <w:rPr>
          <w:rFonts w:ascii="仿宋_GB2312" w:eastAsia="仿宋_GB2312" w:cs="仿宋_GB2312"/>
          <w:snapToGrid w:val="0"/>
          <w:color w:val="000000"/>
          <w:kern w:val="0"/>
          <w:sz w:val="32"/>
          <w:szCs w:val="32"/>
          <w:shd w:val="clear" w:color="auto" w:fill="FFFFFF"/>
        </w:rPr>
        <w:t>1458</w:t>
      </w:r>
      <w:r>
        <w:rPr>
          <w:rFonts w:ascii="仿宋_GB2312" w:eastAsia="仿宋_GB2312" w:cs="仿宋_GB2312" w:hint="eastAsia"/>
          <w:snapToGrid w:val="0"/>
          <w:color w:val="000000"/>
          <w:kern w:val="0"/>
          <w:sz w:val="32"/>
          <w:szCs w:val="32"/>
          <w:shd w:val="clear" w:color="auto" w:fill="FFFFFF"/>
        </w:rPr>
        <w:t>万元，其中环保投资为</w:t>
      </w:r>
      <w:r>
        <w:rPr>
          <w:rFonts w:ascii="仿宋_GB2312" w:eastAsia="仿宋_GB2312" w:cs="仿宋_GB2312"/>
          <w:snapToGrid w:val="0"/>
          <w:color w:val="000000"/>
          <w:kern w:val="0"/>
          <w:sz w:val="32"/>
          <w:szCs w:val="32"/>
          <w:shd w:val="clear" w:color="auto" w:fill="FFFFFF"/>
        </w:rPr>
        <w:t>85</w:t>
      </w:r>
      <w:r>
        <w:rPr>
          <w:rFonts w:ascii="仿宋_GB2312" w:eastAsia="仿宋_GB2312" w:cs="仿宋_GB2312" w:hint="eastAsia"/>
          <w:snapToGrid w:val="0"/>
          <w:color w:val="000000"/>
          <w:kern w:val="0"/>
          <w:sz w:val="32"/>
          <w:szCs w:val="32"/>
          <w:shd w:val="clear" w:color="auto" w:fill="FFFFFF"/>
        </w:rPr>
        <w:t>万元，占总投资的</w:t>
      </w:r>
      <w:r>
        <w:rPr>
          <w:rFonts w:ascii="仿宋_GB2312" w:eastAsia="仿宋_GB2312" w:cs="仿宋_GB2312"/>
          <w:snapToGrid w:val="0"/>
          <w:color w:val="000000"/>
          <w:kern w:val="0"/>
          <w:sz w:val="32"/>
          <w:szCs w:val="32"/>
          <w:shd w:val="clear" w:color="auto" w:fill="FFFFFF"/>
        </w:rPr>
        <w:t>5.83%。</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20" w:lineRule="exact"/>
        <w:ind w:left="0" w:firstLineChars="200" w:firstLine="640"/>
        <w:textAlignment w:val="auto"/>
        <w:rPr>
          <w:rFonts w:ascii="仿宋_GB2312" w:eastAsia="仿宋_GB2312" w:cs="仿宋_GB2312"/>
          <w:snapToGrid w:val="0"/>
          <w:color w:val="000000"/>
          <w:kern w:val="0"/>
          <w:sz w:val="32"/>
          <w:szCs w:val="32"/>
          <w:shd w:val="clear" w:color="auto" w:fill="FFFFFF"/>
        </w:rPr>
      </w:pPr>
      <w:r>
        <w:rPr>
          <w:rFonts w:ascii="仿宋_GB2312" w:eastAsia="仿宋_GB2312" w:cs="仿宋_GB2312" w:hint="eastAsia"/>
          <w:bCs w:val="0"/>
          <w:snapToGrid w:val="0"/>
          <w:color w:val="000000"/>
          <w:spacing w:val="0"/>
          <w:kern w:val="0"/>
          <w:sz w:val="32"/>
          <w:szCs w:val="32"/>
        </w:rPr>
        <w:t>根据所报《</w:t>
      </w:r>
      <w:r>
        <w:rPr>
          <w:rFonts w:ascii="仿宋_GB2312" w:eastAsia="仿宋_GB2312" w:cs="仿宋_GB2312" w:hint="eastAsia"/>
          <w:snapToGrid w:val="0"/>
          <w:color w:val="000000"/>
          <w:kern w:val="0"/>
          <w:sz w:val="32"/>
          <w:szCs w:val="32"/>
          <w:shd w:val="clear" w:color="auto" w:fill="FFFFFF"/>
          <w:lang w:val="en-US" w:eastAsia="zh-CN"/>
        </w:rPr>
        <w:t>报告表</w:t>
      </w:r>
      <w:r>
        <w:rPr>
          <w:rFonts w:ascii="仿宋_GB2312" w:eastAsia="仿宋_GB2312" w:cs="仿宋_GB2312" w:hint="eastAsia"/>
          <w:bCs w:val="0"/>
          <w:snapToGrid w:val="0"/>
          <w:color w:val="000000"/>
          <w:spacing w:val="0"/>
          <w:kern w:val="0"/>
          <w:sz w:val="32"/>
          <w:szCs w:val="32"/>
        </w:rPr>
        <w:t>》、报告</w:t>
      </w:r>
      <w:r>
        <w:rPr>
          <w:rFonts w:ascii="仿宋_GB2312" w:eastAsia="仿宋_GB2312" w:cs="仿宋_GB2312" w:hint="eastAsia"/>
          <w:bCs w:val="0"/>
          <w:snapToGrid w:val="0"/>
          <w:color w:val="000000"/>
          <w:spacing w:val="0"/>
          <w:kern w:val="0"/>
          <w:sz w:val="32"/>
          <w:szCs w:val="32"/>
          <w:lang w:val="en-US" w:eastAsia="zh-CN"/>
        </w:rPr>
        <w:t>表</w:t>
      </w:r>
      <w:r>
        <w:rPr>
          <w:rFonts w:ascii="仿宋_GB2312" w:eastAsia="仿宋_GB2312" w:cs="仿宋_GB2312" w:hint="eastAsia"/>
          <w:bCs w:val="0"/>
          <w:snapToGrid w:val="0"/>
          <w:color w:val="000000"/>
          <w:spacing w:val="0"/>
          <w:kern w:val="0"/>
          <w:sz w:val="32"/>
          <w:szCs w:val="32"/>
        </w:rPr>
        <w:t>评估意见、各有关部门意见、本项目公示意见反馈情况以及企业承诺等</w:t>
      </w:r>
      <w:r>
        <w:rPr>
          <w:rFonts w:ascii="仿宋_GB2312" w:eastAsia="仿宋_GB2312" w:cs="仿宋_GB2312" w:hint="eastAsia"/>
          <w:bCs w:val="0"/>
          <w:snapToGrid w:val="0"/>
          <w:color w:val="000000"/>
          <w:spacing w:val="0"/>
          <w:kern w:val="0"/>
          <w:sz w:val="32"/>
          <w:szCs w:val="32"/>
          <w:lang w:eastAsia="zh-CN"/>
        </w:rPr>
        <w:t>，</w:t>
      </w:r>
      <w:r>
        <w:rPr>
          <w:rFonts w:ascii="仿宋_GB2312" w:eastAsia="仿宋_GB2312" w:cs="仿宋_GB2312" w:hint="eastAsia"/>
          <w:snapToGrid w:val="0"/>
          <w:color w:val="000000"/>
          <w:kern w:val="0"/>
          <w:sz w:val="32"/>
          <w:szCs w:val="32"/>
          <w:shd w:val="clear" w:color="auto" w:fill="FFFFFF"/>
        </w:rPr>
        <w:t>在项目</w:t>
      </w:r>
      <w:r>
        <w:rPr>
          <w:rFonts w:ascii="仿宋_GB2312" w:eastAsia="仿宋_GB2312" w:cs="仿宋_GB2312" w:hint="eastAsia"/>
          <w:snapToGrid w:val="0"/>
          <w:color w:val="000000"/>
          <w:kern w:val="0"/>
          <w:sz w:val="32"/>
          <w:szCs w:val="32"/>
        </w:rPr>
        <w:t>全面严格落实国家和地方相关法律法规、规章、标准</w:t>
      </w:r>
      <w:r>
        <w:rPr>
          <w:rFonts w:ascii="仿宋_GB2312" w:eastAsia="仿宋_GB2312" w:cs="仿宋_GB2312" w:hint="eastAsia"/>
          <w:snapToGrid w:val="0"/>
          <w:color w:val="000000"/>
          <w:kern w:val="0"/>
          <w:sz w:val="32"/>
          <w:szCs w:val="32"/>
          <w:shd w:val="clear" w:color="auto" w:fill="FFFFFF"/>
        </w:rPr>
        <w:t>、生态环境</w:t>
      </w:r>
      <w:r>
        <w:rPr>
          <w:rFonts w:ascii="仿宋_GB2312" w:eastAsia="仿宋_GB2312" w:cs="仿宋_GB2312" w:hint="eastAsia"/>
          <w:color w:val="000000"/>
          <w:spacing w:val="0"/>
          <w:kern w:val="0"/>
          <w:sz w:val="32"/>
          <w:szCs w:val="32"/>
          <w:shd w:val="clear" w:color="auto" w:fill="FFFFFF"/>
        </w:rPr>
        <w:t>部门</w:t>
      </w:r>
      <w:r>
        <w:rPr>
          <w:rFonts w:ascii="仿宋_GB2312" w:eastAsia="仿宋_GB2312" w:cs="仿宋_GB2312" w:hint="eastAsia"/>
          <w:snapToGrid w:val="0"/>
          <w:color w:val="000000"/>
          <w:kern w:val="0"/>
          <w:sz w:val="32"/>
          <w:szCs w:val="32"/>
          <w:shd w:val="clear" w:color="auto" w:fill="FFFFFF"/>
        </w:rPr>
        <w:t>监督管理等要求</w:t>
      </w:r>
      <w:r>
        <w:rPr>
          <w:rFonts w:ascii="仿宋_GB2312" w:eastAsia="仿宋_GB2312" w:cs="仿宋_GB2312" w:hint="eastAsia"/>
          <w:snapToGrid w:val="0"/>
          <w:color w:val="000000"/>
          <w:kern w:val="0"/>
          <w:sz w:val="32"/>
          <w:szCs w:val="32"/>
        </w:rPr>
        <w:t>以及</w:t>
      </w:r>
      <w:r>
        <w:rPr>
          <w:rFonts w:ascii="仿宋_GB2312" w:eastAsia="仿宋_GB2312" w:cs="仿宋_GB2312" w:hint="eastAsia"/>
          <w:snapToGrid w:val="0"/>
          <w:color w:val="000000"/>
          <w:kern w:val="0"/>
          <w:sz w:val="32"/>
          <w:szCs w:val="32"/>
          <w:shd w:val="clear" w:color="auto" w:fill="FFFFFF"/>
        </w:rPr>
        <w:t>《报告表》提出的各项辐射安全防护措施和辐射安全管理要求的前提下，</w:t>
      </w:r>
      <w:r>
        <w:rPr>
          <w:rFonts w:ascii="仿宋_GB2312" w:eastAsia="仿宋_GB2312" w:cs="仿宋_GB2312" w:hint="eastAsia"/>
          <w:snapToGrid w:val="0"/>
          <w:color w:val="000000"/>
          <w:kern w:val="0"/>
          <w:sz w:val="32"/>
          <w:szCs w:val="32"/>
        </w:rPr>
        <w:t>从环境保护角度考虑，</w:t>
      </w:r>
      <w:r>
        <w:rPr>
          <w:rFonts w:ascii="仿宋_GB2312" w:eastAsia="仿宋_GB2312" w:hint="eastAsia"/>
          <w:snapToGrid w:val="0"/>
          <w:color w:val="000000"/>
          <w:kern w:val="0"/>
          <w:sz w:val="32"/>
          <w:szCs w:val="32"/>
        </w:rPr>
        <w:t>我局原则</w:t>
      </w:r>
      <w:r>
        <w:rPr>
          <w:rFonts w:ascii="仿宋_GB2312" w:eastAsia="仿宋_GB2312" w:cs="仿宋_GB2312" w:hint="eastAsia"/>
          <w:snapToGrid w:val="0"/>
          <w:color w:val="000000"/>
          <w:kern w:val="0"/>
          <w:sz w:val="32"/>
          <w:szCs w:val="32"/>
          <w:shd w:val="clear" w:color="auto" w:fill="FFFFFF"/>
        </w:rPr>
        <w:t>同意《报告表》结论。你单位须严格按照《报告表》所列项目的性质、规模、地点、辐射安全防护措施和辐射安全管理要求等实施项目建设，未列入本报告及批复许可的内容，不得建设、投入运行。</w:t>
      </w:r>
    </w:p>
    <w:p>
      <w:pPr>
        <w:keepNext w:val="0"/>
        <w:keepLines w:val="0"/>
        <w:pageBreakBefore w:val="0"/>
        <w:widowControl w:val="0"/>
        <w:kinsoku/>
        <w:wordWrap/>
        <w:overflowPunct w:val="0"/>
        <w:topLinePunct w:val="0"/>
        <w:autoSpaceDE/>
        <w:autoSpaceDN/>
        <w:bidi w:val="0"/>
        <w:adjustRightInd w:val="0"/>
        <w:snapToGrid w:val="0"/>
        <w:spacing w:line="520" w:lineRule="exact"/>
        <w:ind w:firstLineChars="200" w:firstLine="640"/>
        <w:textAlignment w:val="auto"/>
        <w:rPr>
          <w:rFonts w:ascii="仿宋_GB2312" w:eastAsia="仿宋_GB2312" w:cs="仿宋_GB2312" w:hint="eastAsia"/>
          <w:snapToGrid w:val="0"/>
          <w:color w:val="000000"/>
          <w:kern w:val="0"/>
          <w:sz w:val="32"/>
          <w:szCs w:val="32"/>
          <w:shd w:val="clear" w:color="auto" w:fill="FFFFFF"/>
          <w:lang w:eastAsia="zh-CN"/>
        </w:rPr>
      </w:pPr>
      <w:r>
        <w:rPr>
          <w:rFonts w:ascii="仿宋_GB2312" w:eastAsia="仿宋_GB2312" w:cs="仿宋_GB2312" w:hint="eastAsia"/>
          <w:snapToGrid w:val="0"/>
          <w:color w:val="000000"/>
          <w:kern w:val="0"/>
          <w:sz w:val="32"/>
          <w:szCs w:val="32"/>
          <w:shd w:val="clear" w:color="auto" w:fill="FFFFFF"/>
          <w:lang w:bidi="ar-SA"/>
        </w:rPr>
        <w:t>二、项目在设计、建设和运行过程中须认真落实《报告表》及相关的各项辐射安全防护措施和辐射安全管理要求，确保辐射环境安全，并重点做好以下工作：</w:t>
      </w:r>
    </w:p>
    <w:p>
      <w:pPr>
        <w:pStyle w:val="20"/>
        <w:keepNext w:val="0"/>
        <w:keepLines w:val="0"/>
        <w:pageBreakBefore w:val="0"/>
        <w:widowControl w:val="0"/>
        <w:kinsoku/>
        <w:wordWrap/>
        <w:overflowPunct w:val="0"/>
        <w:topLinePunct w:val="0"/>
        <w:autoSpaceDE/>
        <w:autoSpaceDN/>
        <w:adjustRightInd w:val="0"/>
        <w:snapToGrid w:val="0"/>
        <w:spacing w:line="520" w:lineRule="exact"/>
        <w:ind w:firstLineChars="200" w:firstLine="640"/>
        <w:rPr>
          <w:rFonts w:ascii="仿宋_GB2312" w:eastAsia="仿宋_GB2312" w:cs="Helvetica" w:hint="eastAsia"/>
          <w:snapToGrid w:val="0"/>
          <w:color w:val="000000"/>
          <w:kern w:val="0"/>
          <w:sz w:val="32"/>
          <w:szCs w:val="32"/>
        </w:rPr>
      </w:pPr>
      <w:r>
        <w:rPr>
          <w:rFonts w:ascii="仿宋_GB2312" w:eastAsia="仿宋_GB2312" w:cs="仿宋_GB2312" w:hint="eastAsia"/>
          <w:snapToGrid w:val="0"/>
          <w:color w:val="000000"/>
          <w:kern w:val="0"/>
          <w:sz w:val="32"/>
          <w:szCs w:val="32"/>
        </w:rPr>
        <w:t>（一）严格落实射线装置安全管理制度，明确专人负责辐射安全管理工作，建立健全符合相关</w:t>
      </w:r>
      <w:r>
        <w:rPr>
          <w:rFonts w:ascii="仿宋_GB2312" w:eastAsia="仿宋_GB2312" w:cs="Helvetica" w:hint="eastAsia"/>
          <w:snapToGrid w:val="0"/>
          <w:color w:val="000000"/>
          <w:kern w:val="0"/>
          <w:sz w:val="32"/>
          <w:szCs w:val="32"/>
        </w:rPr>
        <w:t>法律法规要求并具有可操作性的辐射事故应急预案和辐射安全管理规章制度，并贯彻落实到位且记录完备。</w:t>
      </w:r>
    </w:p>
    <w:p>
      <w:pPr>
        <w:keepNext w:val="0"/>
        <w:keepLines w:val="0"/>
        <w:pageBreakBefore w:val="0"/>
        <w:widowControl w:val="0"/>
        <w:kinsoku/>
        <w:wordWrap/>
        <w:overflowPunct w:val="0"/>
        <w:topLinePunct w:val="0"/>
        <w:autoSpaceDE/>
        <w:autoSpaceDN/>
        <w:bidi w:val="0"/>
        <w:adjustRightInd w:val="0"/>
        <w:snapToGrid w:val="0"/>
        <w:spacing w:line="520" w:lineRule="exact"/>
        <w:ind w:firstLineChars="200" w:firstLine="640"/>
        <w:textAlignment w:val="auto"/>
        <w:rPr>
          <w:rFonts w:ascii="仿宋_GB2312" w:eastAsia="仿宋_GB2312" w:cs="仿宋_GB2312"/>
          <w:snapToGrid w:val="0"/>
          <w:color w:val="000000"/>
          <w:kern w:val="0"/>
          <w:sz w:val="32"/>
          <w:szCs w:val="32"/>
          <w:lang w:val="en-US" w:eastAsia="zh-CN" w:bidi="ar-SA"/>
        </w:rPr>
      </w:pPr>
      <w:r>
        <w:rPr>
          <w:rFonts w:ascii="仿宋_GB2312" w:eastAsia="仿宋_GB2312" w:cs="仿宋_GB2312" w:hint="eastAsia"/>
          <w:snapToGrid w:val="0"/>
          <w:color w:val="000000"/>
          <w:kern w:val="0"/>
          <w:sz w:val="32"/>
          <w:szCs w:val="32"/>
        </w:rPr>
        <w:t>（二）严格</w:t>
      </w:r>
      <w:r>
        <w:rPr>
          <w:rFonts w:ascii="仿宋_GB2312" w:eastAsia="仿宋_GB2312" w:cs="仿宋_GB2312" w:hint="eastAsia"/>
          <w:snapToGrid w:val="0"/>
          <w:color w:val="000000"/>
          <w:kern w:val="0"/>
          <w:sz w:val="32"/>
          <w:szCs w:val="32"/>
          <w:lang w:val="en-US" w:eastAsia="zh-CN" w:bidi="ar-SA"/>
        </w:rPr>
        <w:t>落实</w:t>
      </w:r>
      <w:r>
        <w:rPr>
          <w:rFonts w:ascii="仿宋_GB2312" w:eastAsia="仿宋_GB2312" w:cs="仿宋_GB2312" w:hint="eastAsia"/>
          <w:snapToGrid w:val="0"/>
          <w:color w:val="000000"/>
          <w:kern w:val="0"/>
          <w:sz w:val="32"/>
          <w:szCs w:val="32"/>
          <w:lang w:bidi="ar-SA"/>
        </w:rPr>
        <w:t>国家和地方相关法律法规、规章、标准</w:t>
      </w:r>
      <w:r>
        <w:rPr>
          <w:rFonts w:ascii="仿宋_GB2312" w:eastAsia="仿宋_GB2312" w:cs="仿宋_GB2312" w:hint="eastAsia"/>
          <w:snapToGrid w:val="0"/>
          <w:color w:val="000000"/>
          <w:kern w:val="0"/>
          <w:sz w:val="32"/>
          <w:szCs w:val="32"/>
          <w:shd w:val="clear" w:color="auto" w:fill="FFFFFF"/>
          <w:lang w:bidi="ar-SA"/>
        </w:rPr>
        <w:t>、生态环境</w:t>
      </w:r>
      <w:r>
        <w:rPr>
          <w:rFonts w:ascii="仿宋_GB2312" w:eastAsia="仿宋_GB2312" w:cs="仿宋_GB2312" w:hint="eastAsia"/>
          <w:color w:val="000000"/>
          <w:spacing w:val="0"/>
          <w:kern w:val="0"/>
          <w:sz w:val="32"/>
          <w:szCs w:val="32"/>
          <w:shd w:val="clear" w:color="auto" w:fill="FFFFFF"/>
        </w:rPr>
        <w:t>部门</w:t>
      </w:r>
      <w:r>
        <w:rPr>
          <w:rFonts w:ascii="仿宋_GB2312" w:eastAsia="仿宋_GB2312" w:cs="仿宋_GB2312" w:hint="eastAsia"/>
          <w:snapToGrid w:val="0"/>
          <w:color w:val="000000"/>
          <w:kern w:val="0"/>
          <w:sz w:val="32"/>
          <w:szCs w:val="32"/>
          <w:shd w:val="clear" w:color="auto" w:fill="FFFFFF"/>
          <w:lang w:bidi="ar-SA"/>
        </w:rPr>
        <w:t>监督管理等要求</w:t>
      </w:r>
      <w:r>
        <w:rPr>
          <w:rFonts w:ascii="仿宋_GB2312" w:eastAsia="仿宋_GB2312" w:cs="仿宋_GB2312" w:hint="eastAsia"/>
          <w:snapToGrid w:val="0"/>
          <w:color w:val="000000"/>
          <w:kern w:val="0"/>
          <w:sz w:val="32"/>
          <w:szCs w:val="32"/>
          <w:lang w:bidi="ar-SA"/>
        </w:rPr>
        <w:t>以及</w:t>
      </w:r>
      <w:r>
        <w:rPr>
          <w:rFonts w:ascii="仿宋_GB2312" w:eastAsia="仿宋_GB2312" w:cs="仿宋_GB2312" w:hint="eastAsia"/>
          <w:snapToGrid w:val="0"/>
          <w:color w:val="000000"/>
          <w:kern w:val="0"/>
          <w:sz w:val="32"/>
          <w:szCs w:val="32"/>
          <w:shd w:val="clear" w:color="auto" w:fill="FFFFFF"/>
          <w:lang w:bidi="ar-SA"/>
        </w:rPr>
        <w:t>《报告表》提出的具体要求，</w:t>
      </w:r>
      <w:r>
        <w:rPr>
          <w:rFonts w:ascii="仿宋_GB2312" w:eastAsia="仿宋_GB2312" w:cs="仿宋_GB2312" w:hint="eastAsia"/>
          <w:snapToGrid w:val="0"/>
          <w:color w:val="000000"/>
          <w:kern w:val="0"/>
          <w:sz w:val="32"/>
          <w:szCs w:val="32"/>
          <w:lang w:val="en-US" w:eastAsia="zh-CN" w:bidi="ar-SA"/>
        </w:rPr>
        <w:t>在辐射工作场所醒目位置设置电离辐射警示标识和中文警示说明；设置工作警示灯、联锁装置、紧急停机装置</w:t>
      </w:r>
      <w:r>
        <w:rPr>
          <w:rFonts w:ascii="仿宋_GB2312" w:eastAsia="仿宋_GB2312" w:cs="仿宋_GB2312" w:hint="eastAsia"/>
          <w:snapToGrid w:val="0"/>
          <w:color w:val="000000"/>
          <w:kern w:val="0"/>
          <w:sz w:val="32"/>
          <w:szCs w:val="32"/>
          <w:shd w:val="clear" w:color="auto" w:fill="FFFFFF"/>
          <w:lang w:val="en-US" w:eastAsia="zh-CN" w:bidi="ar-SA"/>
        </w:rPr>
        <w:t>、通风设施及监控设备等</w:t>
      </w:r>
      <w:r>
        <w:rPr>
          <w:rFonts w:ascii="仿宋_GB2312" w:eastAsia="仿宋_GB2312" w:cs="仿宋_GB2312" w:hint="eastAsia"/>
          <w:snapToGrid w:val="0"/>
          <w:color w:val="000000"/>
          <w:kern w:val="0"/>
          <w:sz w:val="32"/>
          <w:szCs w:val="32"/>
          <w:lang w:val="en-US" w:eastAsia="zh-CN" w:bidi="ar-SA"/>
        </w:rPr>
        <w:t>辐射安全防护设施，并确保相关设施、设备处于良好状态。</w:t>
      </w:r>
    </w:p>
    <w:p>
      <w:pPr>
        <w:pStyle w:val="20"/>
        <w:keepNext w:val="0"/>
        <w:keepLines w:val="0"/>
        <w:pageBreakBefore w:val="0"/>
        <w:widowControl w:val="0"/>
        <w:kinsoku/>
        <w:wordWrap/>
        <w:overflowPunct w:val="0"/>
        <w:topLinePunct w:val="0"/>
        <w:autoSpaceDE/>
        <w:autoSpaceDN/>
        <w:bidi w:val="0"/>
        <w:adjustRightInd w:val="0"/>
        <w:snapToGrid w:val="0"/>
        <w:spacing w:line="520" w:lineRule="exact"/>
        <w:ind w:firstLineChars="200" w:firstLine="640"/>
        <w:jc w:val="both"/>
        <w:textAlignment w:val="auto"/>
        <w:rPr>
          <w:rFonts w:ascii="仿宋_GB2312" w:eastAsia="仿宋_GB2312" w:cs="仿宋_GB2312" w:hint="eastAsia"/>
          <w:snapToGrid w:val="0"/>
          <w:color w:val="000000"/>
          <w:kern w:val="0"/>
          <w:sz w:val="32"/>
          <w:szCs w:val="32"/>
          <w:lang w:val="en-US" w:eastAsia="zh-CN" w:bidi="ar-SA"/>
        </w:rPr>
      </w:pPr>
      <w:r>
        <w:rPr>
          <w:rFonts w:ascii="仿宋_GB2312" w:eastAsia="仿宋_GB2312" w:cs="仿宋_GB2312" w:hint="eastAsia"/>
          <w:snapToGrid w:val="0"/>
          <w:color w:val="000000"/>
          <w:kern w:val="0"/>
          <w:sz w:val="32"/>
          <w:szCs w:val="32"/>
          <w:lang w:eastAsia="zh-CN" w:bidi="ar-SA"/>
        </w:rPr>
        <w:t>（三）严格执行各项操作规程，防止造成人员误照射。一旦发生辐射事故应立即启动应急预案，采取应急措施，并在</w:t>
      </w:r>
      <w:r>
        <w:rPr>
          <w:rFonts w:ascii="仿宋_GB2312" w:eastAsia="仿宋_GB2312" w:cs="仿宋_GB2312" w:hint="eastAsia"/>
          <w:snapToGrid w:val="0"/>
          <w:color w:val="000000"/>
          <w:kern w:val="0"/>
          <w:sz w:val="32"/>
          <w:szCs w:val="32"/>
          <w:lang w:val="en-US" w:eastAsia="zh-CN" w:bidi="ar-SA"/>
        </w:rPr>
        <w:t>2小时内上报到生态环境主管部门等相关部门。</w:t>
      </w:r>
    </w:p>
    <w:p>
      <w:pPr>
        <w:keepNext w:val="0"/>
        <w:keepLines w:val="0"/>
        <w:pageBreakBefore w:val="0"/>
        <w:widowControl w:val="0"/>
        <w:kinsoku/>
        <w:wordWrap/>
        <w:overflowPunct w:val="0"/>
        <w:topLinePunct w:val="0"/>
        <w:autoSpaceDE/>
        <w:autoSpaceDN/>
        <w:bidi w:val="0"/>
        <w:adjustRightInd w:val="0"/>
        <w:snapToGrid w:val="0"/>
        <w:spacing w:line="520" w:lineRule="exact"/>
        <w:ind w:firstLineChars="200" w:firstLine="640"/>
        <w:textAlignment w:val="auto"/>
        <w:rPr>
          <w:rFonts w:ascii="仿宋_GB2312" w:eastAsia="仿宋_GB2312" w:cs="仿宋_GB2312" w:hint="eastAsia"/>
          <w:snapToGrid w:val="0"/>
          <w:color w:val="000000"/>
          <w:kern w:val="0"/>
          <w:sz w:val="32"/>
          <w:szCs w:val="32"/>
          <w:shd w:val="clear" w:color="auto" w:fill="FFFFFF"/>
          <w:lang w:eastAsia="zh-CN"/>
        </w:rPr>
      </w:pPr>
      <w:r>
        <w:rPr>
          <w:rFonts w:ascii="仿宋_GB2312" w:eastAsia="仿宋_GB2312" w:cs="仿宋_GB2312" w:hint="eastAsia"/>
          <w:snapToGrid w:val="0"/>
          <w:color w:val="000000"/>
          <w:kern w:val="0"/>
          <w:sz w:val="32"/>
          <w:szCs w:val="32"/>
          <w:lang w:eastAsia="zh-CN" w:bidi="ar-SA"/>
        </w:rPr>
        <w:t>（四）切实加强辐射安全防护及屏蔽措施</w:t>
      </w:r>
      <w:r>
        <w:rPr>
          <w:rFonts w:ascii="仿宋_GB2312" w:eastAsia="仿宋_GB2312" w:cs="仿宋_GB2312" w:hint="eastAsia"/>
          <w:snapToGrid w:val="0"/>
          <w:color w:val="000000"/>
          <w:kern w:val="0"/>
          <w:sz w:val="32"/>
          <w:szCs w:val="32"/>
          <w:lang w:bidi="ar-SA"/>
        </w:rPr>
        <w:t>，确保职业人员</w:t>
      </w:r>
      <w:r>
        <w:rPr>
          <w:rFonts w:ascii="仿宋_GB2312" w:eastAsia="仿宋_GB2312" w:cs="仿宋_GB2312" w:hint="eastAsia"/>
          <w:snapToGrid w:val="0"/>
          <w:color w:val="000000"/>
          <w:kern w:val="0"/>
          <w:sz w:val="32"/>
          <w:szCs w:val="32"/>
          <w:lang w:eastAsia="zh-CN" w:bidi="ar-SA"/>
        </w:rPr>
        <w:t>和公众人员所受剂量不超过《电离辐射防护与辐射源安全基本标准》(GB18871-2002)的标准限值、其他标准限值以及《报告表》中提出的剂量约束值要求。</w:t>
      </w:r>
    </w:p>
    <w:p>
      <w:pPr>
        <w:pStyle w:val="15"/>
        <w:keepNext w:val="0"/>
        <w:keepLines w:val="0"/>
        <w:pageBreakBefore w:val="0"/>
        <w:widowControl w:val="0"/>
        <w:kinsoku/>
        <w:wordWrap/>
        <w:overflowPunct w:val="0"/>
        <w:topLinePunct w:val="0"/>
        <w:autoSpaceDE/>
        <w:autoSpaceDN/>
        <w:bidi w:val="0"/>
        <w:adjustRightInd w:val="0"/>
        <w:snapToGrid w:val="0"/>
        <w:spacing w:line="520" w:lineRule="exact"/>
        <w:ind w:left="0" w:firstLineChars="200" w:firstLine="640"/>
        <w:textAlignment w:val="auto"/>
        <w:rPr>
          <w:rFonts w:ascii="仿宋_GB2312" w:eastAsia="仿宋_GB2312" w:hint="eastAsia"/>
          <w:snapToGrid w:val="0"/>
          <w:color w:val="000000"/>
          <w:kern w:val="0"/>
          <w:sz w:val="32"/>
          <w:szCs w:val="32"/>
        </w:rPr>
      </w:pPr>
      <w:r>
        <w:rPr>
          <w:rFonts w:ascii="仿宋_GB2312" w:eastAsia="仿宋_GB2312" w:cs="仿宋_GB2312" w:hint="eastAsia"/>
          <w:snapToGrid w:val="0"/>
          <w:color w:val="000000"/>
          <w:kern w:val="0"/>
          <w:sz w:val="32"/>
          <w:szCs w:val="32"/>
          <w:lang w:val="en-US" w:eastAsia="zh-CN" w:bidi="ar-SA"/>
        </w:rPr>
        <w:t>（五）</w:t>
      </w:r>
      <w:r>
        <w:rPr>
          <w:rFonts w:ascii="仿宋_GB2312" w:eastAsia="仿宋_GB2312" w:hint="eastAsia"/>
          <w:snapToGrid w:val="0"/>
          <w:color w:val="000000"/>
          <w:kern w:val="0"/>
          <w:sz w:val="32"/>
          <w:szCs w:val="32"/>
        </w:rPr>
        <w:t>在接到本批复后及时向生态环境部门申请办理辐射安全许可证</w:t>
      </w:r>
      <w:r>
        <w:rPr>
          <w:rFonts w:ascii="仿宋_GB2312" w:eastAsia="仿宋_GB2312" w:hint="eastAsia"/>
          <w:snapToGrid w:val="0"/>
          <w:color w:val="000000"/>
          <w:kern w:val="0"/>
          <w:sz w:val="32"/>
          <w:szCs w:val="32"/>
          <w:lang w:eastAsia="zh-CN"/>
        </w:rPr>
        <w:t>相关事宜</w:t>
      </w:r>
      <w:r>
        <w:rPr>
          <w:rFonts w:ascii="仿宋_GB2312" w:eastAsia="仿宋_GB2312" w:hint="eastAsia"/>
          <w:snapToGrid w:val="0"/>
          <w:color w:val="000000"/>
          <w:kern w:val="0"/>
          <w:sz w:val="32"/>
          <w:szCs w:val="32"/>
        </w:rPr>
        <w:t>。</w:t>
      </w:r>
      <w:r>
        <w:rPr>
          <w:rFonts w:ascii="仿宋_GB2312" w:eastAsia="仿宋_GB2312" w:cs="仿宋_GB2312" w:hint="eastAsia"/>
          <w:snapToGrid w:val="0"/>
          <w:color w:val="000000"/>
          <w:kern w:val="0"/>
          <w:sz w:val="32"/>
          <w:szCs w:val="32"/>
          <w:lang w:bidi="ar-SA"/>
        </w:rPr>
        <w:t>从事</w:t>
      </w:r>
      <w:r>
        <w:rPr>
          <w:rFonts w:ascii="仿宋_GB2312" w:eastAsia="仿宋_GB2312" w:cs="仿宋_GB2312" w:hint="eastAsia"/>
          <w:snapToGrid w:val="0"/>
          <w:color w:val="000000"/>
          <w:kern w:val="0"/>
          <w:sz w:val="32"/>
          <w:szCs w:val="32"/>
          <w:lang w:eastAsia="zh-CN" w:bidi="ar-SA"/>
        </w:rPr>
        <w:t>该项目</w:t>
      </w:r>
      <w:r>
        <w:rPr>
          <w:rFonts w:ascii="仿宋_GB2312" w:eastAsia="仿宋_GB2312" w:cs="仿宋_GB2312" w:hint="eastAsia"/>
          <w:snapToGrid w:val="0"/>
          <w:color w:val="000000"/>
          <w:kern w:val="0"/>
          <w:sz w:val="32"/>
          <w:szCs w:val="32"/>
          <w:lang w:bidi="ar-SA"/>
        </w:rPr>
        <w:t>辐射工作的人员须通过辐射安全和防护专业知识及相关法律法规的培训和考核，</w:t>
      </w:r>
      <w:r>
        <w:rPr>
          <w:rFonts w:ascii="仿宋_GB2312" w:eastAsia="仿宋_GB2312" w:cs="Helvetica" w:hint="eastAsia"/>
          <w:snapToGrid w:val="0"/>
          <w:color w:val="000000"/>
          <w:kern w:val="0"/>
          <w:sz w:val="32"/>
          <w:szCs w:val="32"/>
          <w:lang w:bidi="ar-SA"/>
        </w:rPr>
        <w:t>经考核合格取得上岗资格后方可上岗。</w:t>
      </w:r>
      <w:r>
        <w:rPr>
          <w:rFonts w:ascii="仿宋_GB2312" w:eastAsia="仿宋_GB2312" w:cs="仿宋_GB2312" w:hint="eastAsia"/>
          <w:snapToGrid w:val="0"/>
          <w:color w:val="000000"/>
          <w:kern w:val="0"/>
          <w:sz w:val="32"/>
          <w:szCs w:val="32"/>
          <w:lang w:bidi="ar-SA"/>
        </w:rPr>
        <w:t>配备与辐射类型和辐射水平相适应的监测仪器和个人剂量报警仪、个人剂量计等辐射防护用品，并建立完善的个人剂量档案。</w:t>
      </w:r>
    </w:p>
    <w:p>
      <w:pPr>
        <w:keepNext w:val="0"/>
        <w:keepLines w:val="0"/>
        <w:pageBreakBefore w:val="0"/>
        <w:widowControl w:val="0"/>
        <w:kinsoku/>
        <w:wordWrap/>
        <w:overflowPunct w:val="0"/>
        <w:topLinePunct w:val="0"/>
        <w:autoSpaceDE/>
        <w:autoSpaceDN/>
        <w:adjustRightInd w:val="0"/>
        <w:snapToGrid w:val="0"/>
        <w:spacing w:line="520" w:lineRule="exact"/>
        <w:ind w:left="0" w:firstLineChars="200" w:firstLine="640"/>
        <w:rPr>
          <w:rFonts w:ascii="仿宋_GB2312" w:eastAsia="仿宋_GB2312" w:hint="eastAsia"/>
          <w:snapToGrid w:val="0"/>
          <w:color w:val="000000"/>
          <w:kern w:val="0"/>
          <w:sz w:val="32"/>
          <w:szCs w:val="32"/>
        </w:rPr>
      </w:pPr>
      <w:r>
        <w:rPr>
          <w:rFonts w:ascii="仿宋_GB2312" w:eastAsia="仿宋_GB2312" w:cs="仿宋_GB2312" w:hint="eastAsia"/>
          <w:snapToGrid w:val="0"/>
          <w:color w:val="000000"/>
          <w:kern w:val="0"/>
          <w:sz w:val="32"/>
          <w:szCs w:val="32"/>
          <w:lang w:val="en-US" w:eastAsia="zh-CN" w:bidi="ar-SA"/>
        </w:rPr>
        <w:t>（六）</w:t>
      </w:r>
      <w:r>
        <w:rPr>
          <w:rFonts w:ascii="仿宋_GB2312" w:eastAsia="仿宋_GB2312" w:cs="仿宋_GB2312" w:hint="eastAsia"/>
          <w:color w:val="000000"/>
          <w:kern w:val="0"/>
          <w:sz w:val="32"/>
          <w:szCs w:val="32"/>
          <w:lang w:val="en-US" w:eastAsia="zh-CN"/>
        </w:rPr>
        <w:t>认真落实《报告表》中其他环境管理要求。</w:t>
      </w:r>
      <w:r>
        <w:rPr>
          <w:rFonts w:ascii="仿宋_GB2312" w:eastAsia="仿宋_GB2312" w:cs="仿宋_GB2312" w:hint="eastAsia"/>
          <w:snapToGrid w:val="0"/>
          <w:color w:val="000000"/>
          <w:kern w:val="0"/>
          <w:sz w:val="32"/>
          <w:szCs w:val="32"/>
          <w:lang w:val="en-US" w:eastAsia="zh-CN" w:bidi="ar-SA"/>
        </w:rPr>
        <w:t>如国家和地方另有更严格的相关法律法规、规章、标准、</w:t>
      </w:r>
      <w:r>
        <w:rPr>
          <w:rFonts w:ascii="仿宋_GB2312" w:eastAsia="仿宋_GB2312" w:cs="仿宋_GB2312" w:hint="eastAsia"/>
          <w:snapToGrid w:val="0"/>
          <w:color w:val="000000"/>
          <w:kern w:val="0"/>
          <w:sz w:val="32"/>
          <w:szCs w:val="32"/>
          <w:shd w:val="clear" w:color="auto" w:fill="FFFFFF"/>
          <w:lang w:bidi="ar-SA"/>
        </w:rPr>
        <w:t>生态环境</w:t>
      </w:r>
      <w:r>
        <w:rPr>
          <w:rFonts w:ascii="仿宋_GB2312" w:eastAsia="仿宋_GB2312" w:cs="仿宋_GB2312" w:hint="eastAsia"/>
          <w:color w:val="000000"/>
          <w:kern w:val="0"/>
          <w:sz w:val="32"/>
          <w:szCs w:val="32"/>
          <w:shd w:val="clear" w:color="auto" w:fill="FFFFFF"/>
        </w:rPr>
        <w:t>部门</w:t>
      </w:r>
      <w:r>
        <w:rPr>
          <w:rFonts w:ascii="仿宋_GB2312" w:eastAsia="仿宋_GB2312" w:cs="仿宋_GB2312" w:hint="eastAsia"/>
          <w:snapToGrid w:val="0"/>
          <w:color w:val="000000"/>
          <w:kern w:val="0"/>
          <w:sz w:val="32"/>
          <w:szCs w:val="32"/>
          <w:shd w:val="clear" w:color="auto" w:fill="FFFFFF"/>
          <w:lang w:bidi="ar-SA"/>
        </w:rPr>
        <w:t>监督管理、辐射安全防护和辐射安全管理</w:t>
      </w:r>
      <w:r>
        <w:rPr>
          <w:rFonts w:ascii="仿宋_GB2312" w:eastAsia="仿宋_GB2312" w:cs="仿宋_GB2312" w:hint="eastAsia"/>
          <w:snapToGrid w:val="0"/>
          <w:color w:val="000000"/>
          <w:kern w:val="0"/>
          <w:sz w:val="32"/>
          <w:szCs w:val="32"/>
          <w:lang w:val="en-US" w:eastAsia="zh-CN" w:bidi="ar-SA"/>
        </w:rPr>
        <w:t>等要求的，按最严格规定执行。</w:t>
      </w:r>
    </w:p>
    <w:p>
      <w:pPr>
        <w:pStyle w:val="21"/>
        <w:keepNext w:val="0"/>
        <w:keepLines w:val="0"/>
        <w:pageBreakBefore w:val="0"/>
        <w:widowControl w:val="0"/>
        <w:kinsoku/>
        <w:wordWrap/>
        <w:overflowPunct w:val="0"/>
        <w:topLinePunct w:val="0"/>
        <w:autoSpaceDE/>
        <w:autoSpaceDN/>
        <w:adjustRightInd w:val="0"/>
        <w:snapToGrid w:val="0"/>
        <w:spacing w:before="0" w:beforeAutospacing="0" w:after="0" w:afterAutospacing="0" w:line="520" w:lineRule="exact"/>
        <w:ind w:firstLineChars="200" w:firstLine="640"/>
        <w:jc w:val="both"/>
        <w:rPr>
          <w:rFonts w:ascii="仿宋_GB2312" w:eastAsia="仿宋_GB2312" w:hint="eastAsia"/>
          <w:color w:val="000000"/>
          <w:szCs w:val="32"/>
        </w:rPr>
      </w:pPr>
      <w:r>
        <w:rPr>
          <w:rFonts w:ascii="仿宋_GB2312" w:eastAsia="仿宋_GB2312" w:hint="eastAsia"/>
          <w:snapToGrid w:val="0"/>
          <w:color w:val="000000"/>
          <w:kern w:val="0"/>
          <w:sz w:val="32"/>
          <w:szCs w:val="32"/>
        </w:rPr>
        <w:t>三、严格执行建设项目环境保护“三同时”制度。本项目竣工后，须按规定开展</w:t>
      </w:r>
      <w:r>
        <w:rPr>
          <w:rFonts w:ascii="仿宋_GB2312" w:eastAsia="仿宋_GB2312" w:cs="仿宋" w:hint="eastAsia"/>
          <w:snapToGrid w:val="0"/>
          <w:color w:val="000000"/>
          <w:kern w:val="0"/>
          <w:sz w:val="32"/>
          <w:szCs w:val="32"/>
          <w:shd w:val="clear" w:color="auto" w:fill="FFFFFF"/>
        </w:rPr>
        <w:t>环境保护设施竣工验收工作</w:t>
      </w:r>
      <w:r>
        <w:rPr>
          <w:rFonts w:ascii="仿宋_GB2312" w:eastAsia="仿宋_GB2312" w:hint="eastAsia"/>
          <w:snapToGrid w:val="0"/>
          <w:color w:val="000000"/>
          <w:kern w:val="0"/>
          <w:sz w:val="32"/>
          <w:szCs w:val="32"/>
        </w:rPr>
        <w:t>。验收合格后，项目方可正式投入生产或者使用；未经验收或者验收不合格的，不得投入生产或者使用。本项目环境影响评价文件经批准后，如项目发生重大变动的，</w:t>
      </w:r>
      <w:r>
        <w:rPr>
          <w:rFonts w:ascii="仿宋_GB2312" w:eastAsia="仿宋_GB2312" w:cs="仿宋_GB2312" w:hint="eastAsia"/>
          <w:color w:val="000000"/>
          <w:spacing w:val="0"/>
          <w:kern w:val="0"/>
          <w:sz w:val="32"/>
          <w:szCs w:val="32"/>
          <w:shd w:val="clear" w:color="auto" w:fill="FFFFFF"/>
        </w:rPr>
        <w:t>应按照相关法律法规的规定和要求，</w:t>
      </w:r>
      <w:r>
        <w:rPr>
          <w:rFonts w:ascii="仿宋_GB2312" w:eastAsia="仿宋_GB2312" w:cs="仿宋_GB2312" w:hint="eastAsia"/>
          <w:color w:val="000000"/>
          <w:spacing w:val="0"/>
          <w:kern w:val="0"/>
          <w:sz w:val="32"/>
          <w:szCs w:val="32"/>
          <w:shd w:val="clear" w:color="auto" w:fill="FFFFFF"/>
          <w:lang w:eastAsia="zh-CN"/>
        </w:rPr>
        <w:t>依法依规</w:t>
      </w:r>
      <w:r>
        <w:rPr>
          <w:rFonts w:ascii="仿宋_GB2312" w:eastAsia="仿宋_GB2312" w:cs="仿宋_GB2312" w:hint="eastAsia"/>
          <w:color w:val="000000"/>
          <w:spacing w:val="0"/>
          <w:kern w:val="0"/>
          <w:sz w:val="32"/>
          <w:szCs w:val="32"/>
          <w:shd w:val="clear" w:color="auto" w:fill="FFFFFF"/>
        </w:rPr>
        <w:t>重新报批本项目环境影响评价文件。自批复之日起五年后方决定开工建设的，须将环评文件报行政审批部门重新审核。</w:t>
      </w:r>
    </w:p>
    <w:p>
      <w:pPr>
        <w:keepNext w:val="0"/>
        <w:keepLines w:val="0"/>
        <w:pageBreakBefore w:val="0"/>
        <w:widowControl w:val="0"/>
        <w:kinsoku/>
        <w:wordWrap/>
        <w:overflowPunct w:val="0"/>
        <w:topLinePunct w:val="0"/>
        <w:autoSpaceDE/>
        <w:autoSpaceDN/>
        <w:bidi w:val="0"/>
        <w:adjustRightInd w:val="0"/>
        <w:snapToGrid w:val="0"/>
        <w:spacing w:line="520" w:lineRule="exact"/>
        <w:ind w:firstLineChars="200" w:firstLine="640"/>
        <w:textAlignment w:val="auto"/>
        <w:rPr>
          <w:rFonts w:ascii="仿宋_GB2312" w:eastAsia="仿宋_GB2312" w:cs="仿宋_GB2312" w:hint="eastAsia"/>
          <w:snapToGrid w:val="0"/>
          <w:color w:val="000000"/>
          <w:kern w:val="0"/>
          <w:sz w:val="32"/>
          <w:szCs w:val="32"/>
          <w:shd w:val="clear" w:color="auto" w:fill="FFFFFF"/>
        </w:rPr>
      </w:pPr>
      <w:r>
        <w:rPr>
          <w:rFonts w:ascii="仿宋_GB2312" w:eastAsia="仿宋_GB2312" w:hint="eastAsia"/>
          <w:snapToGrid w:val="0"/>
          <w:color w:val="000000"/>
          <w:kern w:val="0"/>
          <w:sz w:val="32"/>
          <w:szCs w:val="32"/>
        </w:rPr>
        <w:t>四、你单位在接到本批复后</w:t>
      </w:r>
      <w:r>
        <w:rPr>
          <w:rFonts w:ascii="仿宋_GB2312" w:eastAsia="仿宋_GB2312" w:cs="仿宋_GB2312" w:hint="eastAsia"/>
          <w:snapToGrid w:val="0"/>
          <w:color w:val="000000"/>
          <w:kern w:val="0"/>
          <w:sz w:val="32"/>
          <w:szCs w:val="32"/>
          <w:shd w:val="clear" w:color="auto" w:fill="FFFFFF"/>
        </w:rPr>
        <w:t>的10个工作日内</w:t>
      </w:r>
      <w:r>
        <w:rPr>
          <w:rFonts w:ascii="仿宋_GB2312" w:eastAsia="仿宋_GB2312" w:hint="eastAsia"/>
          <w:snapToGrid w:val="0"/>
          <w:color w:val="000000"/>
          <w:kern w:val="0"/>
          <w:sz w:val="32"/>
          <w:szCs w:val="32"/>
        </w:rPr>
        <w:t>，须将《报告表》及其批复文件送至生态环境行政主管部门备案，</w:t>
      </w:r>
      <w:r>
        <w:rPr>
          <w:rFonts w:ascii="仿宋_GB2312" w:eastAsia="仿宋_GB2312" w:cs="仿宋_GB2312" w:hint="eastAsia"/>
          <w:snapToGrid w:val="0"/>
          <w:color w:val="000000"/>
          <w:kern w:val="0"/>
          <w:sz w:val="32"/>
          <w:szCs w:val="32"/>
          <w:shd w:val="clear" w:color="auto" w:fill="FFFFFF"/>
        </w:rPr>
        <w:t xml:space="preserve">并按规定接受各级生态环境行政主管部门的监督检查。 </w:t>
      </w:r>
    </w:p>
    <w:p>
      <w:pPr>
        <w:keepNext w:val="0"/>
        <w:keepLines w:val="0"/>
        <w:pageBreakBefore w:val="0"/>
        <w:widowControl w:val="0"/>
        <w:kinsoku/>
        <w:wordWrap/>
        <w:overflowPunct w:val="0"/>
        <w:topLinePunct w:val="0"/>
        <w:autoSpaceDE/>
        <w:autoSpaceDN/>
        <w:adjustRightInd w:val="0"/>
        <w:snapToGrid w:val="0"/>
        <w:spacing w:line="520" w:lineRule="exact"/>
        <w:ind w:left="0" w:firstLineChars="200" w:firstLine="640"/>
        <w:rPr>
          <w:rFonts w:ascii="仿宋_GB2312" w:eastAsia="仿宋_GB2312" w:hint="eastAsia"/>
          <w:snapToGrid w:val="0"/>
          <w:color w:val="000000"/>
          <w:kern w:val="0"/>
          <w:sz w:val="32"/>
          <w:szCs w:val="32"/>
        </w:rPr>
      </w:pPr>
      <w:r>
        <w:rPr>
          <w:rFonts w:ascii="仿宋_GB2312" w:eastAsia="仿宋_GB2312" w:cs="仿宋_GB2312" w:hint="eastAsia"/>
          <w:snapToGrid w:val="0"/>
          <w:color w:val="000000"/>
          <w:kern w:val="0"/>
          <w:sz w:val="32"/>
          <w:szCs w:val="32"/>
          <w:shd w:val="clear" w:color="auto" w:fill="FFFFFF"/>
        </w:rPr>
        <w:t>五、本批复只适用于以上核技术利用建设项目，其他如涉及非核技术利用建设项目须按有关规定另行办理相关环保手续。</w:t>
      </w:r>
    </w:p>
    <w:p>
      <w:pPr>
        <w:keepNext w:val="0"/>
        <w:keepLines w:val="0"/>
        <w:pageBreakBefore w:val="0"/>
        <w:widowControl w:val="0"/>
        <w:kinsoku/>
        <w:wordWrap/>
        <w:overflowPunct w:val="0"/>
        <w:topLinePunct w:val="0"/>
        <w:autoSpaceDE/>
        <w:autoSpaceDN/>
        <w:adjustRightInd w:val="0"/>
        <w:snapToGrid w:val="0"/>
        <w:spacing w:beforeAutospacing="0" w:afterAutospacing="0" w:line="520" w:lineRule="exact"/>
        <w:ind w:left="0" w:firstLineChars="200" w:firstLine="640"/>
        <w:rPr>
          <w:rFonts w:eastAsia="仿宋_GB2312"/>
          <w:snapToGrid w:val="0"/>
          <w:color w:val="000000"/>
          <w:kern w:val="0"/>
          <w:sz w:val="32"/>
          <w:szCs w:val="32"/>
        </w:rPr>
      </w:pPr>
    </w:p>
    <w:p>
      <w:pPr>
        <w:keepNext w:val="0"/>
        <w:keepLines w:val="0"/>
        <w:pageBreakBefore w:val="0"/>
        <w:widowControl w:val="0"/>
        <w:kinsoku/>
        <w:wordWrap/>
        <w:overflowPunct w:val="0"/>
        <w:topLinePunct w:val="0"/>
        <w:autoSpaceDE/>
        <w:autoSpaceDN/>
        <w:adjustRightInd w:val="0"/>
        <w:snapToGrid w:val="0"/>
        <w:spacing w:beforeAutospacing="0" w:afterAutospacing="0" w:line="520" w:lineRule="exact"/>
        <w:ind w:left="0" w:firstLineChars="200" w:firstLine="640"/>
        <w:rPr>
          <w:color w:val="000000"/>
          <w:szCs w:val="32"/>
        </w:rPr>
      </w:pPr>
      <w:r>
        <w:rPr>
          <w:rFonts w:ascii="仿宋_GB2312" w:eastAsia="仿宋_GB2312" w:cs="仿宋_GB2312"/>
          <w:color w:val="000000"/>
          <w:sz w:val="32"/>
          <w:szCs w:val="32"/>
          <w:shd w:val="clear" w:color="auto" w:fill="FFFFFF"/>
          <w:lang w:val="en-US" w:eastAsia="zh-CN" w:bidi="ar-SA"/>
        </w:rPr>
        <w:t xml:space="preserve"> </w:t>
      </w:r>
    </w:p>
    <w:p>
      <w:pPr>
        <w:pStyle w:val="15"/>
        <w:keepNext w:val="0"/>
        <w:keepLines w:val="0"/>
        <w:pageBreakBefore w:val="0"/>
        <w:widowControl w:val="0"/>
        <w:kinsoku/>
        <w:wordWrap/>
        <w:overflowPunct w:val="0"/>
        <w:topLinePunct w:val="0"/>
        <w:autoSpaceDE/>
        <w:autoSpaceDN/>
        <w:bidi w:val="0"/>
        <w:adjustRightInd w:val="0"/>
        <w:snapToGrid w:val="0"/>
        <w:spacing w:beforeAutospacing="0" w:afterAutospacing="0" w:line="520" w:lineRule="exact"/>
        <w:ind w:firstLineChars="1700" w:firstLine="5440"/>
        <w:textAlignment w:val="auto"/>
        <w:rPr>
          <w:rFonts w:ascii="仿宋_GB2312" w:eastAsia="仿宋_GB2312" w:cs="仿宋_GB2312"/>
          <w:snapToGrid w:val="0"/>
          <w:color w:val="000000"/>
          <w:kern w:val="0"/>
          <w:sz w:val="32"/>
          <w:szCs w:val="32"/>
          <w:shd w:val="clear" w:color="auto" w:fill="FFFFFF"/>
        </w:rPr>
      </w:pPr>
      <w:r>
        <w:rPr>
          <w:rFonts w:ascii="仿宋_GB2312" w:eastAsia="仿宋_GB2312" w:cs="仿宋_GB2312" w:hint="eastAsia"/>
          <w:snapToGrid w:val="0"/>
          <w:color w:val="000000"/>
          <w:kern w:val="0"/>
          <w:sz w:val="32"/>
          <w:szCs w:val="32"/>
          <w:shd w:val="clear" w:color="auto" w:fill="FFFFFF"/>
        </w:rPr>
        <w:t>秦皇岛市行政审批局</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20" w:lineRule="exact"/>
        <w:ind w:firstLineChars="1800" w:firstLine="5760"/>
        <w:textAlignment w:val="auto"/>
        <w:rPr>
          <w:rFonts w:ascii="仿宋_GB2312" w:eastAsia="仿宋_GB2312"/>
          <w:color w:val="000000"/>
          <w:sz w:val="32"/>
          <w:szCs w:val="32"/>
        </w:rPr>
      </w:pPr>
      <w:r>
        <w:rPr>
          <w:rFonts w:ascii="仿宋_GB2312" w:eastAsia="仿宋_GB2312" w:cs="仿宋_GB2312" w:hint="eastAsia"/>
          <w:snapToGrid w:val="0"/>
          <w:color w:val="000000"/>
          <w:kern w:val="0"/>
          <w:sz w:val="32"/>
          <w:szCs w:val="32"/>
          <w:shd w:val="clear" w:color="auto" w:fill="FFFFFF"/>
        </w:rPr>
        <w:t>202</w:t>
      </w:r>
      <w:r>
        <w:rPr>
          <w:rFonts w:ascii="仿宋_GB2312" w:eastAsia="仿宋_GB2312" w:cs="仿宋_GB2312"/>
          <w:snapToGrid w:val="0"/>
          <w:color w:val="000000"/>
          <w:kern w:val="0"/>
          <w:sz w:val="32"/>
          <w:szCs w:val="32"/>
          <w:shd w:val="clear" w:color="auto" w:fill="FFFFFF"/>
        </w:rPr>
        <w:t>5</w:t>
      </w:r>
      <w:r>
        <w:rPr>
          <w:rFonts w:ascii="仿宋_GB2312" w:eastAsia="仿宋_GB2312" w:cs="仿宋_GB2312" w:hint="eastAsia"/>
          <w:snapToGrid w:val="0"/>
          <w:color w:val="000000"/>
          <w:kern w:val="0"/>
          <w:sz w:val="32"/>
          <w:szCs w:val="32"/>
          <w:shd w:val="clear" w:color="auto" w:fill="FFFFFF"/>
        </w:rPr>
        <w:t>年</w:t>
      </w:r>
      <w:r>
        <w:rPr>
          <w:rFonts w:ascii="仿宋_GB2312" w:eastAsia="仿宋_GB2312" w:cs="仿宋_GB2312"/>
          <w:snapToGrid w:val="0"/>
          <w:color w:val="000000"/>
          <w:kern w:val="0"/>
          <w:sz w:val="32"/>
          <w:szCs w:val="32"/>
          <w:shd w:val="clear" w:color="auto" w:fill="FFFFFF"/>
        </w:rPr>
        <w:t>7</w:t>
      </w:r>
      <w:r>
        <w:rPr>
          <w:rFonts w:ascii="仿宋_GB2312" w:eastAsia="仿宋_GB2312" w:cs="仿宋_GB2312" w:hint="eastAsia"/>
          <w:snapToGrid w:val="0"/>
          <w:color w:val="000000"/>
          <w:kern w:val="0"/>
          <w:sz w:val="32"/>
          <w:szCs w:val="32"/>
          <w:shd w:val="clear" w:color="auto" w:fill="FFFFFF"/>
        </w:rPr>
        <w:t>月</w:t>
      </w:r>
      <w:r>
        <w:rPr>
          <w:rFonts w:ascii="仿宋_GB2312" w:eastAsia="仿宋_GB2312" w:cs="仿宋_GB2312"/>
          <w:snapToGrid w:val="0"/>
          <w:color w:val="000000"/>
          <w:kern w:val="0"/>
          <w:sz w:val="32"/>
          <w:szCs w:val="32"/>
          <w:shd w:val="clear" w:color="auto" w:fill="FFFFFF"/>
        </w:rPr>
        <w:t>7</w:t>
      </w:r>
      <w:r>
        <w:rPr>
          <w:rFonts w:ascii="仿宋_GB2312" w:eastAsia="仿宋_GB2312" w:cs="仿宋_GB2312" w:hint="eastAsia"/>
          <w:snapToGrid w:val="0"/>
          <w:color w:val="000000"/>
          <w:kern w:val="0"/>
          <w:sz w:val="32"/>
          <w:szCs w:val="32"/>
          <w:shd w:val="clear" w:color="auto" w:fill="FFFFFF"/>
        </w:rPr>
        <w:t>日</w:t>
      </w:r>
    </w:p>
    <w:sectPr>
      <w:footerReference w:type="default" r:id="rId2"/>
      <w:pgSz w:w="11907" w:h="16840"/>
      <w:pgMar w:top="2098" w:right="1474" w:bottom="1985" w:left="1588" w:header="851" w:footer="992" w:gutter="0"/>
      <w:pgNumType w:fmt="numberInDash"/>
      <w:docGrid w:type="lines" w:linePitch="316"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0"/>
    <w:family w:val="auto"/>
    <w:pitch w:val="variable"/>
    <w:sig w:usb0="00000203" w:usb1="288F0000" w:usb2="00000006" w:usb3="00000000" w:csb0="00040001" w:csb1="00000000"/>
  </w:font>
  <w:font w:name="Times New Roman">
    <w:panose1 w:val="02020603050405020304"/>
    <w:charset w:val="86"/>
    <w:family w:val="auto"/>
    <w:pitch w:val="variable"/>
    <w:sig w:usb0="E0002EFF" w:usb1="C000785B" w:usb2="00000009" w:usb3="00000000" w:csb0="400001FF" w:csb1="FFFF0000"/>
  </w:font>
  <w:font w:name="仿宋_GB2312">
    <w:panose1 w:val="02010609030101010101"/>
    <w:charset w:val="86"/>
    <w:family w:val="modern"/>
    <w:pitch w:val="variable"/>
    <w:sig w:usb0="00000001" w:usb1="080E0000" w:usb2="00000000" w:usb3="00000000" w:csb0="00040000" w:csb1="00000000"/>
  </w:font>
  <w:font w:name="方正小标宋简体">
    <w:altName w:val="仿宋_GB2312"/>
    <w:panose1 w:val="00000000000000000000"/>
    <w:charset w:val="86"/>
    <w:family w:val="auto"/>
    <w:pitch w:val="variable"/>
    <w:sig w:usb0="00000000" w:usb1="00000000" w:usb2="00000000" w:usb3="00000000" w:csb0="00040000" w:csb1="00000000"/>
  </w:font>
  <w:font w:name="Helvetica">
    <w:altName w:val="Arial"/>
    <w:panose1 w:val="020B0604020202020204"/>
    <w:charset w:val="00"/>
    <w:family w:val="swiss"/>
    <w:pitch w:val="variable"/>
    <w:sig w:usb0="00000000" w:usb1="00000000" w:usb2="00000000" w:usb3="00000000" w:csb0="00000001" w:csb1="00000000"/>
  </w:font>
  <w:font w:name="仿宋">
    <w:panose1 w:val="02010609060101010101"/>
    <w:charset w:val="86"/>
    <w:family w:val="modern"/>
    <w:pitch w:val="variable"/>
    <w:sig w:usb0="800002BF" w:usb1="38CF7CFA" w:usb2="00000016" w:usb3="00000000" w:csb0="00040001"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swiss"/>
    <w:pitch w:val="variable"/>
    <w:sig w:usb0="E4002EFF" w:usb1="C000247B" w:usb2="00000009" w:usb3="00000000" w:csb0="200001FF" w:csb1="0000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pPr>
    <w:r>
      <mc:AlternateContent>
        <mc:Choice Requires="wps">
          <w:drawing>
            <wp:anchor distT="0" distB="0" distL="114297" distR="114297" simplePos="0" relativeHeight="19" behindDoc="0" locked="0" layoutInCell="1" hidden="0" allowOverlap="1">
              <wp:simplePos x="0" y="0"/>
              <wp:positionH relativeFrom="margin">
                <wp:align>outside</wp:align>
              </wp:positionH>
              <wp:positionV relativeFrom="paragraph">
                <wp:posOffset>0</wp:posOffset>
              </wp:positionV>
              <wp:extent cx="444498" cy="230250"/>
              <wp:wrapNone/>
              <wp:docPr id="1" name="_x0000_s2050"/>
              <wp:cNvGraphicFramePr>
                <a:graphicFrameLocks noChangeAspect="0"/>
              </wp:cNvGraphicFramePr>
              <a:graphic>
                <a:graphicData uri="http://schemas.microsoft.com/office/word/2010/wordprocessingShape">
                  <wps:wsp>
                    <wps:cNvSpPr/>
                    <wps:spPr>
                      <a:xfrm rot="0">
                        <a:off x="0" y="0"/>
                        <a:ext cx="444498" cy="230250"/>
                      </a:xfrm>
                      <a:prstGeom prst="rect"/>
                      <a:noFill/>
                      <a:ln w="9525" cmpd="sng" cap="flat">
                        <a:noFill/>
                        <a:prstDash val="solid"/>
                        <a:miter/>
                      </a:ln>
                    </wps:spPr>
                    <wps:txbx id="1">
                      <w:txbxContent>
                        <w:p>
                          <w:pPr>
                            <w:pStyle w:val="19"/>
                            <w:tabs>
                              <w:tab w:val="center" w:pos="4153"/>
                              <w:tab w:val="right" w:pos="8306"/>
                            </w:tabs>
                            <w:rPr>
                              <w:rFonts w:ascii="宋体" w:cs="宋体"/>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- 3 -</w:t>
                          </w:r>
                          <w:r>
                            <w:rPr>
                              <w:rFonts w:ascii="宋体" w:cs="宋体" w:hint="eastAsia"/>
                              <w:sz w:val="28"/>
                              <w:szCs w:val="28"/>
                            </w:rPr>
                            <w:fldChar w:fldCharType="end"/>
                          </w:r>
                        </w:p>
                      </w:txbxContent>
                    </wps:txbx>
                    <wps:bodyPr vert="horz" wrap="none" lIns="0" tIns="0" rIns="0" bIns="0" anchor="t" anchorCtr="0" upright="1">
                      <a:spAutoFit/>
                    </wps:bodyPr>
                  </wps:wsp>
                </a:graphicData>
              </a:graphic>
            </wp:anchor>
          </w:drawing>
        </mc:Choice>
        <mc:Fallback>
          <w:pict>
            <v:rect type="#_x0000_t1" id="_x0000_s2050" o:spid="_x0000_s2" filled="f" stroked="f" style="position:absolute;margin-left:0.0pt;margin-top:0.0pt;width:34.999844pt;height:18.129921pt;z-index:19;mso-position-horizontal:outside;mso-position-horizontal-relative:margin;mso-position-vertical:absolute;mso-wrap-distance-left:8.9997635pt;mso-wrap-distance-right:8.9997635pt;mso-wrap-style:none;">
              <v:stroke/>
              <v:textbox id="848" inset="0mm,0mm,0mm,0mm" o:insetmode="custom" style="layout-flow:horizontal;v-text-anchor:top;mso-fit-shape-to-text:t;">
                <w:txbxContent>
                  <w:p>
                    <w:pPr>
                      <w:pStyle w:val="19"/>
                      <w:tabs>
                        <w:tab w:val="center" w:pos="4153"/>
                        <w:tab w:val="right" w:pos="8306"/>
                      </w:tabs>
                      <w:rPr>
                        <w:rFonts w:ascii="宋体" w:cs="宋体"/>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- 3 -</w:t>
                    </w:r>
                    <w:r>
                      <w:rPr>
                        <w:rFonts w:ascii="宋体" w:cs="宋体" w:hint="eastAsia"/>
                        <w:sz w:val="28"/>
                        <w:szCs w:val="28"/>
                      </w:rPr>
                      <w:fldChar w:fldCharType="end"/>
                    </w:r>
                  </w:p>
                </w:txbxContent>
              </v:textbox>
            </v:rect>
          </w:pict>
        </mc:Fallback>
      </mc:AlternateContent>
    </w:r>
    <w:r>
      <mc:AlternateContent>
        <mc:Choice Requires="wps">
          <w:drawing>
            <wp:anchor distT="0" distB="0" distL="114297" distR="114297" simplePos="0" relativeHeight="21" behindDoc="0" locked="0" layoutInCell="1" hidden="0" allowOverlap="1">
              <wp:simplePos x="0" y="0"/>
              <wp:positionH relativeFrom="margin">
                <wp:align>outside</wp:align>
              </wp:positionH>
              <wp:positionV relativeFrom="paragraph">
                <wp:posOffset>0</wp:posOffset>
              </wp:positionV>
              <wp:extent cx="76200" cy="139526"/>
              <wp:wrapNone/>
              <wp:docPr id="4" name="_x0000_s2049"/>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3">
                      <w:txbxContent>
                        <w:p>
                          <w:pPr>
                            <w:pStyle w:val="19"/>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2049" o:spid="_x0000_s4" filled="f" stroked="f" style="position:absolute;margin-left:0.0pt;margin-top:0.0pt;width:6.0pt;height:10.9862995pt;z-index:21;mso-position-horizontal:outside;mso-position-horizontal-relative:margin;mso-position-vertical:absolute;mso-wrap-distance-left:8.9997635pt;mso-wrap-distance-right:8.9997635pt;mso-wrap-style:none;">
              <v:stroke/>
              <v:textbox id="849" inset="0mm,0mm,0mm,0mm" o:insetmode="custom" style="layout-flow:horizontal;v-text-anchor:top;mso-fit-shape-to-text:t;">
                <w:txbxContent>
                  <w:p>
                    <w:pPr>
                      <w:pStyle w:val="19"/>
                      <w:tabs>
                        <w:tab w:val="center" w:pos="4153"/>
                        <w:tab w:val="right" w:pos="8306"/>
                      </w:tabs>
                    </w:pP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2"/>
  </w:compat>
  <w:docVars>
    <w:docVar w:name="commondata" w:val="eyJoZGlkIjoiMTM5MjczMTQyNjAwYmVmYTllMmM1MGM0MGU5MDlhZWEifQ=="/>
  </w:docVars>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5"/>
    <w:pPr>
      <w:widowControl w:val="0"/>
      <w:jc w:val="both"/>
    </w:pPr>
    <w:rPr>
      <w:rFonts w:ascii="Calibri" w:eastAsia="宋体" w:cs="Times New Roman" w:hAnsi="Calibri"/>
      <w:kern w:val="2"/>
      <w:sz w:val="21"/>
      <w:szCs w:val="24"/>
      <w:lang w:val="en-US" w:eastAsia="zh-CN" w:bidi="ar-SA"/>
    </w:rPr>
  </w:style>
  <w:style w:type="paragraph" w:styleId="1">
    <w:name w:val="heading 1"/>
    <w:qFormat/>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Times New Roman" w:hAnsi="Calibri"/>
      <w:b/>
      <w:bCs/>
      <w:kern w:val="44"/>
      <w:sz w:val="44"/>
      <w:szCs w:val="44"/>
      <w:lang w:val="en-US" w:eastAsia="zh-CN" w:bidi="ar-SA"/>
    </w:rPr>
  </w:style>
  <w:style w:type="paragraph" w:styleId="2">
    <w:name w:val="heading 2"/>
    <w:qFormat/>
    <w:basedOn w:val="0"/>
    <w:next w:val="0"/>
    <w:link w:val="2Char"/>
    <w:pPr>
      <w:keepNext/>
      <w:keepLines/>
      <w:widowControl w:val="0"/>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widowControl w:val="0"/>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kern w:val="2"/>
      <w:sz w:val="32"/>
      <w:szCs w:val="32"/>
      <w:lang w:val="en-US" w:eastAsia="zh-CN" w:bidi="ar-SA"/>
    </w:rPr>
  </w:style>
  <w:style w:type="character" w:default="1" w:styleId="10">
    <w:name w:val="Default Paragraph Font"/>
    <w:qFormat/>
  </w:style>
  <w:style w:type="paragraph" w:styleId="15">
    <w:name w:val="Normal Indent"/>
    <w:qFormat/>
    <w:basedOn w:val="0"/>
    <w:next w:val="17"/>
    <w:pPr>
      <w:ind w:firstLine="420"/>
    </w:pPr>
  </w:style>
  <w:style w:type="paragraph" w:styleId="16">
    <w:name w:val="Body Text"/>
    <w:qFormat/>
    <w:basedOn w:val="0"/>
    <w:next w:val="18"/>
    <w:rPr>
      <w:sz w:val="28"/>
    </w:rPr>
  </w:style>
  <w:style w:type="paragraph" w:customStyle="1" w:yozoId="4094" w:styleId="17">
    <w:name w:val="样式 正文文本 + 首行缩进:  2 字符"/>
    <w:qFormat/>
    <w:basedOn w:val="16"/>
    <w:next w:val="0"/>
    <w:pPr>
      <w:spacing w:line="480" w:lineRule="exact"/>
      <w:ind w:firstLineChars="200" w:firstLine="200"/>
    </w:pPr>
    <w:rPr>
      <w:rFonts w:ascii="宋体" w:cs="宋体"/>
      <w:color w:val="000000"/>
      <w:sz w:val="24"/>
      <w:u w:val="none" w:color="000000"/>
      <w:lang w:val="en-US" w:eastAsia="zh-CN"/>
    </w:rPr>
  </w:style>
  <w:style w:type="paragraph" w:styleId="18">
    <w:name w:val="toc 2"/>
    <w:qFormat/>
    <w:basedOn w:val="0"/>
    <w:next w:val="0"/>
    <w:pPr>
      <w:ind w:leftChars="200" w:left="200"/>
    </w:pPr>
  </w:style>
  <w:style w:type="paragraph" w:styleId="19">
    <w:name w:val="footer"/>
    <w:qFormat/>
    <w:basedOn w:val="0"/>
    <w:pPr>
      <w:tabs>
        <w:tab w:val="center" w:pos="4153"/>
        <w:tab w:val="right" w:pos="8306"/>
      </w:tabs>
      <w:snapToGrid w:val="0"/>
      <w:jc w:val="left"/>
    </w:pPr>
    <w:rPr>
      <w:sz w:val="18"/>
    </w:rPr>
  </w:style>
  <w:style w:type="paragraph" w:styleId="20">
    <w:name w:val="toc 1"/>
    <w:qFormat/>
    <w:basedOn w:val="0"/>
    <w:next w:val="0"/>
  </w:style>
  <w:style w:type="paragraph" w:styleId="21">
    <w:name w:val="Normal (Web)"/>
    <w:qFormat/>
    <w:basedOn w:val="0"/>
    <w:pPr>
      <w:spacing w:before="100" w:beforeAutospacing="1" w:after="100" w:afterAutospacing="1"/>
      <w:jc w:val="left"/>
    </w:pPr>
    <w:rPr>
      <w:kern w:val="0"/>
      <w:sz w:val="24"/>
    </w:rPr>
  </w:style>
  <w:style w:type="paragraph" w:styleId="22">
    <w:name w:val="Body Text First Indent"/>
    <w:qFormat/>
    <w:basedOn w:val="0"/>
    <w:next w:val="16"/>
    <w:pPr>
      <w:widowControl w:val="0"/>
      <w:spacing w:after="120"/>
      <w:ind w:firstLineChars="100" w:firstLine="100"/>
      <w:jc w:val="both"/>
    </w:pPr>
    <w:rPr>
      <w:rFonts w:ascii="Calibri" w:eastAsia="宋体" w:cs="Times New Roman" w:hAnsi="Calibri"/>
      <w:kern w:val="2"/>
      <w:sz w:val="21"/>
      <w:szCs w:val="24"/>
      <w:lang w:val="en-US" w:eastAsia="zh-CN" w:bidi="ar-SA"/>
    </w:rPr>
  </w:style>
  <w:style w:type="paragraph" w:customStyle="1" w:yozoId="4094" w:styleId="23">
    <w:name w:val="默认段落"/>
    <w:qFormat/>
    <w:pPr>
      <w:widowControl w:val="0"/>
      <w:jc w:val="both"/>
    </w:pPr>
    <w:rPr>
      <w:rFonts w:ascii="Calibri" w:eastAsia="宋体" w:cs="Times New Roman" w:hAnsi="Calibri"/>
      <w:kern w:val="2"/>
      <w:sz w:val="21"/>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 Id="rId6"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b"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678 0 1 1 1 1"/>
    <sectPr/>
  </customProps>
</customData>
</file>

<file path=customXml/itemProps1.xml><?xml version="1.0" encoding="utf-8"?>
<ds:datastoreItem xmlns:ds="http://schemas.openxmlformats.org/officeDocument/2006/customXml" ds:itemID="{5D71EA9C-88F2-4C23-BA1A-24F15E53E7E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999</TotalTime>
  <Application>Yozo_Office9.0.5978.102ZH.HE59</Application>
  <Pages>3</Pages>
  <Words>0</Words>
  <Characters>1233</Characters>
  <Lines>0</Lines>
  <Paragraphs>22</Paragraphs>
  <CharactersWithSpaces>1644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雯</dc:creator>
  <cp:lastModifiedBy>Administrator</cp:lastModifiedBy>
  <cp:revision>13</cp:revision>
  <cp:lastPrinted>2022-01-17T02:59:00Z</cp:lastPrinted>
  <dcterms:created xsi:type="dcterms:W3CDTF">2020-10-16T00:57:00Z</dcterms:created>
  <dcterms:modified xsi:type="dcterms:W3CDTF">2025-07-07T01:27:34Z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2052-11.1.0.12763</vt:lpwstr>
  </property>
  <property fmtid="{D5CDD505-2E9C-101B-9397-08002B2CF9AE}" pid="3" name="ICV">
    <vt:lpwstr>DC23FABB74764184BB4085C229852EBA</vt:lpwstr>
  </property>
</Properties>
</file>