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2"/>
        </w:rPr>
      </w:pPr>
      <w:r>
        <w:rPr>
          <w:rFonts w:hint="eastAsia" w:ascii="宋体"/>
          <w:b/>
          <w:sz w:val="44"/>
        </w:rPr>
        <w:t>关于拟批准设置医疗机构的公示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秦皇岛市行政审批局依</w:t>
      </w:r>
      <w:r>
        <w:rPr>
          <w:rFonts w:ascii="仿宋_GB2312" w:eastAsia="仿宋_GB2312"/>
          <w:sz w:val="32"/>
        </w:rPr>
        <w:t>秦皇岛</w:t>
      </w:r>
      <w:r>
        <w:rPr>
          <w:rFonts w:hint="eastAsia" w:ascii="仿宋_GB2312" w:eastAsia="仿宋_GB2312"/>
          <w:sz w:val="32"/>
          <w:lang w:eastAsia="zh-CN"/>
        </w:rPr>
        <w:t>抚宁区茂润</w:t>
      </w:r>
      <w:r>
        <w:rPr>
          <w:rFonts w:ascii="仿宋_GB2312" w:eastAsia="仿宋_GB2312"/>
          <w:sz w:val="32"/>
        </w:rPr>
        <w:t>精神</w:t>
      </w:r>
      <w:r>
        <w:rPr>
          <w:rFonts w:hint="eastAsia" w:ascii="仿宋_GB2312" w:eastAsia="仿宋_GB2312"/>
          <w:sz w:val="32"/>
          <w:lang w:eastAsia="zh-CN"/>
        </w:rPr>
        <w:t>专科</w:t>
      </w:r>
      <w:r>
        <w:rPr>
          <w:rFonts w:ascii="仿宋_GB2312" w:eastAsia="仿宋_GB2312"/>
          <w:sz w:val="32"/>
        </w:rPr>
        <w:t>医院</w:t>
      </w:r>
      <w:r>
        <w:rPr>
          <w:rFonts w:hint="eastAsia" w:ascii="仿宋_GB2312" w:eastAsia="仿宋_GB2312"/>
          <w:sz w:val="32"/>
          <w:lang w:eastAsia="zh-CN"/>
        </w:rPr>
        <w:t>有限公司</w:t>
      </w:r>
      <w:r>
        <w:rPr>
          <w:rFonts w:hint="eastAsia" w:ascii="仿宋_GB2312" w:eastAsia="仿宋_GB2312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hint="eastAsia" w:ascii="仿宋_GB2312" w:eastAsia="仿宋_GB2312"/>
          <w:sz w:val="32"/>
        </w:rPr>
        <w:t>。</w:t>
      </w:r>
    </w:p>
    <w:tbl>
      <w:tblPr>
        <w:tblStyle w:val="7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839"/>
        <w:gridCol w:w="342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hint="eastAsia" w:ascii="黑体" w:eastAsia="黑体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执业地址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5" w:rightChars="-50" w:hanging="108" w:hangingChars="50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0"/>
                <w:sz w:val="24"/>
              </w:rPr>
              <w:t>经营性质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hint="eastAsia" w:ascii="黑体" w:eastAsia="黑体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hint="eastAsia" w:ascii="黑体" w:eastAsia="黑体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</w:rPr>
              <w:t>秦皇岛</w:t>
            </w: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茂润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精神病医院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曾令伟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  <w:lang w:eastAsia="zh-CN"/>
              </w:rPr>
              <w:t>刘志敏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二级精神病医院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秦皇岛市抚宁区民政事业服务中心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1、2号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内科；呼吸内科专业；消化内科专业；神经内科专业；精神科；精神病专业；精神卫生专业；精神康复专业；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临床心理专业；医学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检验科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临床体液、血液专业；临床生化检验专业；临床免疫、血清学专业；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</w:rPr>
              <w:t>医学影像科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X线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；超声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；心电图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；脑电及脑血流图诊断专业；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床位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20"/>
                <w:w w:val="95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pacing w:val="-20"/>
                <w:w w:val="95"/>
                <w:szCs w:val="21"/>
                <w:lang w:eastAsia="zh-CN"/>
              </w:rPr>
              <w:t>张</w:t>
            </w:r>
          </w:p>
        </w:tc>
      </w:tr>
    </w:tbl>
    <w:p>
      <w:pPr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</w:t>
      </w:r>
    </w:p>
    <w:p>
      <w:pPr>
        <w:ind w:firstLine="5440" w:firstLineChars="17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秦皇岛市行政审批局</w:t>
      </w:r>
    </w:p>
    <w:p>
      <w:pPr>
        <w:ind w:firstLine="640" w:firstLineChars="20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  <w:rsids>
    <w:rsidRoot w:val="00000000"/>
    <w:rsid w:val="323F46ED"/>
    <w:rsid w:val="F7FF816B"/>
    <w:rsid w:val="FBFC0708"/>
    <w:rsid w:val="FDFF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559</Words>
  <Characters>573</Characters>
  <Lines>56</Lines>
  <Paragraphs>26</Paragraphs>
  <TotalTime>16</TotalTime>
  <ScaleCrop>false</ScaleCrop>
  <LinksUpToDate>false</LinksUpToDate>
  <CharactersWithSpaces>612</CharactersWithSpaces>
  <Application>WPS Office_11.8.2.12333_F1E327BC-269C-435d-A152-05C5408002CA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2019-03-22T17:59:00Z</dcterms:created>
  <dc:creator>Windows 用户</dc:creator>
  <cp:lastModifiedBy>user</cp:lastModifiedBy>
  <cp:lastPrinted>2025-01-21T17:16:00Z</cp:lastPrinted>
  <dcterms:modified xsi:type="dcterms:W3CDTF">2025-06-06T11:16:39Z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7F83DF8EAB0041A2ABEDAE03FC0858C2</vt:lpwstr>
  </property>
</Properties>
</file>