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p>
    <w:p>
      <w:pPr>
        <w:wordWrap w:val="0"/>
        <w:spacing w:line="700" w:lineRule="exact"/>
        <w:jc w:val="right"/>
        <w:rPr>
          <w:rFonts w:ascii="Times New Roman" w:eastAsia="仿宋_GB2312" w:cs="宋体" w:hAnsi="Times New Roman"/>
          <w:color w:val="000000"/>
          <w:sz w:val="32"/>
          <w:szCs w:val="32"/>
        </w:rPr>
      </w:pPr>
      <w:r>
        <w:rPr>
          <w:rFonts w:ascii="Times New Roman" w:eastAsia="仿宋_GB2312" w:cs="仿宋_GB2312" w:hAnsi="Times New Roman" w:hint="eastAsia"/>
          <w:color w:val="000000"/>
          <w:sz w:val="32"/>
          <w:szCs w:val="32"/>
        </w:rPr>
        <w:t xml:space="preserve"> </w:t>
      </w:r>
      <w:r>
        <w:rPr>
          <w:rFonts w:ascii="仿宋_GB2312" w:eastAsia="仿宋_GB2312" w:cs="仿宋_GB2312" w:hint="eastAsia"/>
          <w:color w:val="000000"/>
          <w:sz w:val="32"/>
          <w:szCs w:val="32"/>
        </w:rPr>
        <w:t>秦审批环准许〔202</w:t>
      </w:r>
      <w:r>
        <w:rPr>
          <w:rFonts w:ascii="仿宋_GB2312" w:eastAsia="仿宋_GB2312" w:cs="仿宋_GB2312"/>
          <w:color w:val="000000"/>
          <w:sz w:val="32"/>
          <w:szCs w:val="32"/>
          <w:lang w:val="en-US" w:eastAsia="zh-CN"/>
        </w:rPr>
        <w:t>5</w:t>
      </w:r>
      <w:r>
        <w:rPr>
          <w:rFonts w:ascii="仿宋_GB2312" w:eastAsia="仿宋_GB2312" w:cs="仿宋_GB2312" w:hint="eastAsia"/>
          <w:color w:val="000000"/>
          <w:sz w:val="32"/>
          <w:szCs w:val="32"/>
        </w:rPr>
        <w:t>〕11-00</w:t>
      </w:r>
      <w:r>
        <w:rPr>
          <w:rFonts w:ascii="仿宋_GB2312" w:eastAsia="仿宋_GB2312" w:cs="仿宋_GB2312"/>
          <w:color w:val="000000"/>
          <w:sz w:val="32"/>
          <w:szCs w:val="32"/>
          <w:lang w:val="en-US" w:eastAsia="zh-CN"/>
        </w:rPr>
        <w:t>12</w:t>
      </w:r>
      <w:r>
        <w:rPr>
          <w:rFonts w:ascii="仿宋_GB2312" w:eastAsia="仿宋_GB2312" w:cs="仿宋_GB2312" w:hint="eastAsia"/>
          <w:color w:val="000000"/>
          <w:sz w:val="32"/>
          <w:szCs w:val="32"/>
        </w:rPr>
        <w:t>号</w:t>
      </w:r>
    </w:p>
    <w:p>
      <w:pPr>
        <w:adjustRightInd w:val="0"/>
        <w:snapToGrid w:val="0"/>
        <w:spacing w:line="560" w:lineRule="exact"/>
        <w:jc w:val="center"/>
        <w:rPr>
          <w:rFonts w:ascii="方正小标宋简体" w:eastAsia="方正小标宋简体" w:cs="宋体" w:hAnsi="方正小标宋简体"/>
          <w:bCs/>
          <w:snapToGrid w:val="0"/>
          <w:color w:val="000000"/>
          <w:spacing w:val="-6"/>
          <w:kern w:val="0"/>
          <w:sz w:val="44"/>
          <w:szCs w:val="44"/>
          <w:shd w:val="clear" w:color="auto" w:fill="FFFFFF"/>
        </w:rPr>
      </w:pPr>
      <w:r>
        <w:rPr>
          <w:rFonts w:ascii="方正小标宋简体" w:eastAsia="方正小标宋简体" w:cs="宋体" w:hAnsi="方正小标宋简体" w:hint="eastAsia"/>
          <w:bCs/>
          <w:snapToGrid w:val="0"/>
          <w:color w:val="000000"/>
          <w:spacing w:val="-6"/>
          <w:kern w:val="0"/>
          <w:sz w:val="44"/>
          <w:szCs w:val="44"/>
          <w:shd w:val="clear" w:color="auto" w:fill="FFFFFF"/>
        </w:rPr>
        <w:t>关于</w:t>
      </w:r>
      <w:bookmarkStart w:id="0" w:name="_Hlk48493511"/>
      <w:r>
        <w:rPr>
          <w:rFonts w:ascii="方正小标宋简体" w:eastAsia="方正小标宋简体" w:cs="宋体" w:hAnsi="方正小标宋简体" w:hint="eastAsia"/>
          <w:bCs/>
          <w:snapToGrid w:val="0"/>
          <w:color w:val="000000"/>
          <w:spacing w:val="-6"/>
          <w:kern w:val="0"/>
          <w:sz w:val="44"/>
          <w:szCs w:val="44"/>
          <w:shd w:val="clear" w:color="auto" w:fill="FFFFFF"/>
        </w:rPr>
        <w:t>《</w:t>
      </w:r>
      <w:r>
        <w:rPr>
          <w:rFonts w:ascii="方正小标宋简体" w:eastAsia="方正小标宋简体" w:cs="宋体" w:hAnsi="方正小标宋简体"/>
          <w:bCs/>
          <w:snapToGrid w:val="0"/>
          <w:color w:val="000000"/>
          <w:spacing w:val="-6"/>
          <w:kern w:val="0"/>
          <w:sz w:val="44"/>
          <w:szCs w:val="44"/>
          <w:shd w:val="clear" w:color="auto" w:fill="FFFFFF"/>
        </w:rPr>
        <w:t>秦皇岛环亚管道有限公司固定式工业X射线探伤装置应用项目</w:t>
      </w:r>
      <w:r>
        <w:rPr>
          <w:rFonts w:ascii="方正小标宋简体" w:eastAsia="方正小标宋简体" w:cs="宋体" w:hAnsi="方正小标宋简体" w:hint="eastAsia"/>
          <w:bCs/>
          <w:snapToGrid w:val="0"/>
          <w:color w:val="000000"/>
          <w:spacing w:val="-6"/>
          <w:kern w:val="0"/>
          <w:sz w:val="44"/>
          <w:szCs w:val="44"/>
        </w:rPr>
        <w:t>环境影响报告表》</w:t>
      </w:r>
      <w:bookmarkEnd w:id="0"/>
      <w:r>
        <w:rPr>
          <w:rFonts w:ascii="方正小标宋简体" w:eastAsia="方正小标宋简体" w:cs="宋体" w:hAnsi="方正小标宋简体" w:hint="eastAsia"/>
          <w:bCs/>
          <w:snapToGrid w:val="0"/>
          <w:color w:val="000000"/>
          <w:spacing w:val="-6"/>
          <w:kern w:val="0"/>
          <w:sz w:val="44"/>
          <w:szCs w:val="44"/>
          <w:shd w:val="clear" w:color="auto" w:fill="FFFFFF"/>
        </w:rPr>
        <w:t>的批复</w:t>
      </w:r>
    </w:p>
    <w:p>
      <w:pPr>
        <w:spacing w:line="560" w:lineRule="exact"/>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color w:val="000000"/>
          <w:sz w:val="44"/>
          <w:szCs w:val="44"/>
        </w:rPr>
        <mc:AlternateContent>
          <mc:Choice Requires="wps">
            <w:drawing>
              <wp:anchor distT="0" distB="0" distL="114297" distR="114297" simplePos="0" relativeHeight="15" behindDoc="0" locked="0" layoutInCell="0" hidden="1" allowOverlap="1">
                <wp:simplePos x="0" y="0"/>
                <wp:positionH relativeFrom="page">
                  <wp:posOffset>735965</wp:posOffset>
                </wp:positionH>
                <wp:positionV relativeFrom="page">
                  <wp:posOffset>9937115</wp:posOffset>
                </wp:positionV>
                <wp:extent cx="6083935" cy="951"/>
                <wp:wrapTopAndBottom/>
                <wp:docPr id="7" name="_x0000_s1026"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o:spid="_x0000_s5" from="57.95pt,782.45pt" to="537.0pt,782.5249pt" filled="f" stroked="t" strokeweight="5.5pt" o:allowincell="f" style="position:absolute;z-index:15;mso-position-horizontal:absolute;mso-position-horizontal-relative:page;mso-position-vertical:absolute;mso-position-vertical-relative:page;mso-wrap-distance-left:8.999843pt;mso-wrap-distance-right:8.999843pt;visibility:hidden;">
                <v:stroke linestyle="thinThick" color="#FF0000"/>
                <w10:wrap type="topAndBottom"/>
              </v:line>
            </w:pict>
          </mc:Fallback>
        </mc:AlternateContent>
      </w:r>
      <w:r>
        <w:rPr>
          <w:rFonts w:ascii="Times New Roman" w:eastAsia="方正小标宋简体" w:cs="方正小标宋简体" w:hAnsi="Times New Roman"/>
          <w:color w:val="000000"/>
          <w:sz w:val="44"/>
          <w:szCs w:val="44"/>
        </w:rPr>
        <mc:AlternateContent>
          <mc:Choice Requires="wps">
            <w:drawing>
              <wp:anchor distT="0" distB="0" distL="114297" distR="114297" simplePos="0" relativeHeight="19" behindDoc="0" locked="0" layoutInCell="0" hidden="1" allowOverlap="1">
                <wp:simplePos x="0" y="0"/>
                <wp:positionH relativeFrom="column">
                  <wp:posOffset>-274954</wp:posOffset>
                </wp:positionH>
                <wp:positionV relativeFrom="margin">
                  <wp:posOffset>445770</wp:posOffset>
                </wp:positionV>
                <wp:extent cx="6083935" cy="952"/>
                <wp:wrapTopAndBottom/>
                <wp:docPr id="9" name="_x0000_s1027"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o:spid="_x0000_s6" from="-21.65pt,35.1pt" to="457.4pt,35.17496pt" filled="f" stroked="t" strokeweight="5.5pt" o:allowincell="f" style="position:absolute;z-index:19;mso-position-horizontal:absolute;mso-position-vertical:absolute;mso-position-vertical-relative:margin;mso-wrap-distance-left:8.999843pt;mso-wrap-distance-right:8.999843pt;visibility:hidden;">
                <v:stroke linestyle="thickThin" color="#FF0000"/>
                <w10:wrap type="topAndBottom"/>
              </v:line>
            </w:pict>
          </mc:Fallback>
        </mc:AlternateContent>
      </w:r>
    </w:p>
    <w:p>
      <w:pPr>
        <w:keepNext w:val="0"/>
        <w:keepLines w:val="0"/>
        <w:pageBreakBefore w:val="0"/>
        <w:widowControl w:val="0"/>
        <w:kinsoku/>
        <w:wordWrap/>
        <w:overflowPunct w:val="0"/>
        <w:topLinePunct w:val="0"/>
        <w:autoSpaceDE/>
        <w:autoSpaceDN/>
        <w:adjustRightInd w:val="0"/>
        <w:snapToGrid w:val="0"/>
        <w:spacing w:beforeAutospacing="0" w:afterAutospacing="0" w:line="540" w:lineRule="exact"/>
        <w:rPr>
          <w:rFonts w:eastAsia="仿宋_GB2312"/>
          <w:sz w:val="32"/>
        </w:rPr>
      </w:pPr>
      <w:r>
        <w:rPr>
          <w:rFonts w:ascii="仿宋_GB2312" w:eastAsia="仿宋_GB2312" w:cs="宋体"/>
          <w:color w:val="000000"/>
          <w:kern w:val="0"/>
          <w:sz w:val="32"/>
          <w:szCs w:val="44"/>
          <w:shd w:val="clear" w:color="auto" w:fill="FFFFFF"/>
        </w:rPr>
        <w:t>秦皇岛环亚管道有限公司：</w:t>
      </w:r>
    </w:p>
    <w:p>
      <w:pPr>
        <w:keepNext w:val="0"/>
        <w:keepLines w:val="0"/>
        <w:pageBreakBefore w:val="0"/>
        <w:widowControl w:val="0"/>
        <w:kinsoku/>
        <w:wordWrap/>
        <w:overflowPunct w:val="0"/>
        <w:topLinePunct w:val="0"/>
        <w:autoSpaceDE/>
        <w:autoSpaceDN/>
        <w:adjustRightInd w:val="0"/>
        <w:snapToGrid w:val="0"/>
        <w:spacing w:line="540" w:lineRule="exact"/>
        <w:ind w:firstLineChars="200" w:firstLine="640"/>
        <w:rPr>
          <w:rFonts w:ascii="仿宋_GB2312" w:eastAsia="仿宋_GB2312" w:cs="仿宋_GB2312"/>
          <w:snapToGrid w:val="0"/>
          <w:color w:val="000000"/>
          <w:kern w:val="0"/>
          <w:sz w:val="32"/>
          <w:szCs w:val="32"/>
        </w:rPr>
      </w:pPr>
      <w:bookmarkStart w:id="1" w:name="_GoBack"/>
      <w:r>
        <w:rPr>
          <w:rFonts w:ascii="仿宋_GB2312" w:eastAsia="仿宋_GB2312" w:cs="仿宋_GB2312" w:hint="eastAsia"/>
          <w:color w:val="000000"/>
          <w:kern w:val="0"/>
          <w:sz w:val="32"/>
          <w:szCs w:val="32"/>
          <w:shd w:val="clear" w:color="auto" w:fill="FFFFFF"/>
        </w:rPr>
        <w:t>所报《</w:t>
      </w:r>
      <w:r>
        <w:rPr>
          <w:rFonts w:ascii="方正小标宋简体" w:eastAsia="仿宋_GB2312" w:cs="宋体" w:hAnsi="方正小标宋简体"/>
          <w:bCs/>
          <w:snapToGrid w:val="0"/>
          <w:color w:val="000000"/>
          <w:kern w:val="0"/>
          <w:sz w:val="32"/>
          <w:szCs w:val="44"/>
          <w:shd w:val="clear" w:color="auto" w:fill="FFFFFF"/>
        </w:rPr>
        <w:t>秦皇岛环亚管道有限公司固定式工业X射线探伤装置应用项目</w:t>
      </w:r>
      <w:r>
        <w:rPr>
          <w:rFonts w:ascii="仿宋_GB2312" w:eastAsia="仿宋_GB2312" w:cs="仿宋_GB2312" w:hint="eastAsia"/>
          <w:color w:val="000000"/>
          <w:kern w:val="0"/>
          <w:sz w:val="32"/>
          <w:szCs w:val="32"/>
          <w:shd w:val="clear" w:color="auto" w:fill="FFFFFF"/>
        </w:rPr>
        <w:t>环境影响报告表》(以下简称《报告表》)审批申请及相关申报材料收悉。</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w:t>
      </w:r>
      <w:r>
        <w:rPr>
          <w:rFonts w:ascii="仿宋_GB2312" w:eastAsia="仿宋_GB2312" w:cs="仿宋_GB2312"/>
          <w:snapToGrid w:val="0"/>
          <w:color w:val="000000"/>
          <w:kern w:val="0"/>
          <w:sz w:val="32"/>
          <w:szCs w:val="32"/>
          <w:lang w:val="en-US" w:eastAsia="zh-CN"/>
        </w:rPr>
        <w:t>秦皇岛环亚管道有限公司固定式工业X射线探伤装置应用项目环境影响报告表技术评估意见</w:t>
      </w:r>
      <w:r>
        <w:rPr>
          <w:rFonts w:ascii="仿宋_GB2312" w:eastAsia="仿宋_GB2312" w:cs="仿宋_GB2312" w:hint="eastAsia"/>
          <w:snapToGrid w:val="0"/>
          <w:color w:val="000000"/>
          <w:kern w:val="0"/>
          <w:sz w:val="32"/>
          <w:szCs w:val="32"/>
          <w:lang w:val="en-US" w:eastAsia="zh-CN"/>
        </w:rPr>
        <w:t>》</w:t>
      </w:r>
      <w:r>
        <w:rPr>
          <w:rFonts w:ascii="仿宋_GB2312" w:eastAsia="仿宋_GB2312" w:cs="仿宋_GB2312" w:hint="eastAsia"/>
          <w:color w:val="000000"/>
          <w:kern w:val="0"/>
          <w:sz w:val="32"/>
          <w:szCs w:val="32"/>
          <w:lang w:eastAsia="zh-CN"/>
        </w:rPr>
        <w:t>（绿秦环评[202</w:t>
      </w:r>
      <w:r>
        <w:rPr>
          <w:rFonts w:ascii="仿宋_GB2312" w:eastAsia="仿宋_GB2312" w:cs="仿宋_GB2312"/>
          <w:color w:val="000000"/>
          <w:kern w:val="0"/>
          <w:sz w:val="32"/>
          <w:szCs w:val="32"/>
          <w:lang w:eastAsia="zh-CN"/>
        </w:rPr>
        <w:t>5</w:t>
      </w:r>
      <w:r>
        <w:rPr>
          <w:rFonts w:ascii="仿宋_GB2312" w:eastAsia="仿宋_GB2312" w:cs="仿宋_GB2312" w:hint="eastAsia"/>
          <w:color w:val="000000"/>
          <w:kern w:val="0"/>
          <w:sz w:val="32"/>
          <w:szCs w:val="32"/>
          <w:lang w:eastAsia="zh-CN"/>
        </w:rPr>
        <w:t>]0</w:t>
      </w:r>
      <w:r>
        <w:rPr>
          <w:rFonts w:ascii="仿宋_GB2312" w:eastAsia="仿宋_GB2312" w:cs="仿宋_GB2312"/>
          <w:color w:val="000000"/>
          <w:kern w:val="0"/>
          <w:sz w:val="32"/>
          <w:szCs w:val="32"/>
          <w:lang w:val="en-US" w:eastAsia="zh-CN"/>
        </w:rPr>
        <w:t>33</w:t>
      </w:r>
      <w:r>
        <w:rPr>
          <w:rFonts w:ascii="仿宋_GB2312" w:eastAsia="仿宋_GB2312" w:cs="仿宋_GB2312" w:hint="eastAsia"/>
          <w:color w:val="00000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r>
        <w:rPr>
          <w:rFonts w:ascii="仿宋_GB2312" w:eastAsia="仿宋_GB2312" w:cs="仿宋_GB2312"/>
          <w:snapToGrid w:val="0"/>
          <w:color w:val="000000"/>
          <w:kern w:val="0"/>
          <w:sz w:val="32"/>
          <w:szCs w:val="32"/>
          <w:lang w:val="en-US" w:eastAsia="zh-CN"/>
        </w:rPr>
        <w:t>：</w:t>
      </w:r>
    </w:p>
    <w:p>
      <w:pPr>
        <w:keepNext w:val="0"/>
        <w:keepLines w:val="0"/>
        <w:pageBreakBefore w:val="0"/>
        <w:widowControl w:val="0"/>
        <w:kinsoku/>
        <w:wordWrap/>
        <w:overflowPunct w:val="0"/>
        <w:topLinePunct w:val="0"/>
        <w:autoSpaceDE/>
        <w:autoSpaceDN/>
        <w:adjustRightInd w:val="0"/>
        <w:snapToGrid w:val="0"/>
        <w:spacing w:line="540" w:lineRule="exact"/>
        <w:ind w:left="0" w:firstLineChars="200" w:firstLine="640"/>
        <w:rPr>
          <w:rFonts w:ascii="仿宋_GB2312" w:eastAsia="仿宋_GB2312" w:cs="仿宋_GB2312"/>
          <w:color w:val="000000"/>
          <w:kern w:val="0"/>
          <w:sz w:val="32"/>
          <w:szCs w:val="32"/>
          <w:shd w:val="clear" w:color="auto" w:fill="FFFFFF"/>
        </w:rPr>
      </w:pPr>
      <w:r>
        <w:rPr>
          <w:rFonts w:ascii="仿宋_GB2312" w:eastAsia="仿宋_GB2312" w:cs="仿宋_GB2312"/>
          <w:snapToGrid w:val="0"/>
          <w:color w:val="000000"/>
          <w:kern w:val="0"/>
          <w:sz w:val="32"/>
          <w:szCs w:val="32"/>
          <w:shd w:val="clear" w:color="auto" w:fill="FFFFFF"/>
          <w:lang w:val="en-US" w:eastAsia="zh-CN"/>
        </w:rPr>
        <w:t>一、</w:t>
      </w:r>
      <w:r>
        <w:rPr>
          <w:rFonts w:ascii="仿宋_GB2312" w:eastAsia="仿宋_GB2312" w:cs="仿宋_GB2312" w:hint="eastAsia"/>
          <w:snapToGrid w:val="0"/>
          <w:color w:val="000000"/>
          <w:kern w:val="0"/>
          <w:sz w:val="32"/>
          <w:szCs w:val="32"/>
          <w:shd w:val="clear" w:color="auto" w:fill="FFFFFF"/>
          <w:lang w:val="en-US" w:eastAsia="zh-CN"/>
        </w:rPr>
        <w:t>项目主要建设内容及总体要求。</w:t>
      </w:r>
      <w:r>
        <w:rPr>
          <w:rFonts w:ascii="仿宋_GB2312" w:eastAsia="仿宋_GB2312" w:cs="仿宋_GB2312"/>
          <w:color w:val="000000"/>
          <w:kern w:val="0"/>
          <w:sz w:val="32"/>
          <w:szCs w:val="32"/>
          <w:shd w:val="clear" w:color="auto" w:fill="FFFFFF"/>
        </w:rPr>
        <w:t>项目位于</w:t>
      </w:r>
      <w:r>
        <w:rPr>
          <w:rFonts w:ascii="仿宋_GB2312" w:eastAsia="仿宋_GB2312" w:cs="仿宋_GB2312" w:hint="eastAsia"/>
          <w:color w:val="000000"/>
          <w:kern w:val="0"/>
          <w:sz w:val="32"/>
          <w:szCs w:val="32"/>
          <w:shd w:val="clear" w:color="auto" w:fill="FFFFFF"/>
        </w:rPr>
        <w:t>秦皇岛</w:t>
      </w:r>
      <w:r>
        <w:rPr>
          <w:rFonts w:ascii="仿宋_GB2312" w:eastAsia="仿宋_GB2312" w:cs="仿宋_GB2312"/>
          <w:color w:val="000000"/>
          <w:kern w:val="0"/>
          <w:sz w:val="32"/>
          <w:szCs w:val="32"/>
          <w:shd w:val="clear" w:color="auto" w:fill="FFFFFF"/>
        </w:rPr>
        <w:t>经济技术开发区东区长春东道6号秦皇岛环亚管道有限公司现有厂房内，拟建设一座探伤工作场所，拟购置使用3台工业X射线探伤机，型号分别为HS-XY450/10（最大管电压450kV,最大管电流10mA）、RD-360LGD（最大管电压360kV,最大管电流5mA）和RD-360LGP（最大管电压360kV,最大管电流5mA），均</w:t>
      </w:r>
      <w:r>
        <w:rPr>
          <w:rFonts w:ascii="仿宋_GB2312" w:eastAsia="仿宋_GB2312" w:cs="宋体" w:hint="eastAsia"/>
          <w:color w:val="000000"/>
          <w:kern w:val="0"/>
          <w:sz w:val="32"/>
          <w:szCs w:val="44"/>
          <w:shd w:val="clear" w:color="auto" w:fill="FFFFFF"/>
        </w:rPr>
        <w:t>属Ⅱ类射线装置</w:t>
      </w:r>
      <w:r>
        <w:rPr>
          <w:rFonts w:ascii="仿宋_GB2312" w:eastAsia="仿宋_GB2312" w:cs="仿宋_GB2312"/>
          <w:color w:val="000000"/>
          <w:kern w:val="0"/>
          <w:sz w:val="32"/>
          <w:szCs w:val="32"/>
          <w:shd w:val="clear" w:color="auto" w:fill="FFFFFF"/>
        </w:rPr>
        <w:t>，</w:t>
      </w:r>
      <w:r>
        <w:rPr>
          <w:rFonts w:ascii="仿宋_GB2312" w:eastAsia="仿宋_GB2312" w:cs="仿宋_GB2312" w:hint="eastAsia"/>
          <w:color w:val="000000"/>
          <w:kern w:val="0"/>
          <w:sz w:val="32"/>
          <w:szCs w:val="32"/>
          <w:shd w:val="clear" w:color="auto" w:fill="FFFFFF"/>
        </w:rPr>
        <w:t>用于压力容器的</w:t>
      </w:r>
      <w:r>
        <w:rPr>
          <w:rFonts w:ascii="仿宋_GB2312" w:eastAsia="仿宋_GB2312" w:cs="仿宋_GB2312"/>
          <w:color w:val="000000"/>
          <w:kern w:val="0"/>
          <w:sz w:val="32"/>
          <w:szCs w:val="32"/>
          <w:shd w:val="clear" w:color="auto" w:fill="FFFFFF"/>
        </w:rPr>
        <w:t>无损探伤检测</w:t>
      </w:r>
      <w:r>
        <w:rPr>
          <w:rFonts w:ascii="仿宋_GB2312" w:eastAsia="仿宋_GB2312" w:cs="仿宋_GB2312" w:hint="eastAsia"/>
          <w:color w:val="000000"/>
          <w:kern w:val="0"/>
          <w:sz w:val="32"/>
          <w:szCs w:val="32"/>
          <w:shd w:val="clear" w:color="auto" w:fill="FFFFFF"/>
        </w:rPr>
        <w:t>。项目总投资为</w:t>
      </w:r>
      <w:r>
        <w:rPr>
          <w:rFonts w:ascii="仿宋_GB2312" w:eastAsia="仿宋_GB2312" w:cs="仿宋_GB2312"/>
          <w:color w:val="000000"/>
          <w:kern w:val="0"/>
          <w:sz w:val="32"/>
          <w:szCs w:val="32"/>
          <w:shd w:val="clear" w:color="auto" w:fill="FFFFFF"/>
        </w:rPr>
        <w:t>400</w:t>
      </w:r>
      <w:r>
        <w:rPr>
          <w:rFonts w:ascii="仿宋_GB2312" w:eastAsia="仿宋_GB2312" w:cs="仿宋_GB2312" w:hint="eastAsia"/>
          <w:color w:val="000000"/>
          <w:kern w:val="0"/>
          <w:sz w:val="32"/>
          <w:szCs w:val="32"/>
          <w:shd w:val="clear" w:color="auto" w:fill="FFFFFF"/>
        </w:rPr>
        <w:t>万元，其中环保投资为</w:t>
      </w:r>
      <w:r>
        <w:rPr>
          <w:rFonts w:ascii="仿宋_GB2312" w:eastAsia="仿宋_GB2312" w:cs="仿宋_GB2312"/>
          <w:color w:val="000000"/>
          <w:kern w:val="0"/>
          <w:sz w:val="32"/>
          <w:szCs w:val="32"/>
          <w:shd w:val="clear" w:color="auto" w:fill="FFFFFF"/>
        </w:rPr>
        <w:t>160</w:t>
      </w:r>
      <w:r>
        <w:rPr>
          <w:rFonts w:ascii="仿宋_GB2312" w:eastAsia="仿宋_GB2312" w:cs="仿宋_GB2312" w:hint="eastAsia"/>
          <w:color w:val="000000"/>
          <w:kern w:val="0"/>
          <w:sz w:val="32"/>
          <w:szCs w:val="32"/>
          <w:shd w:val="clear" w:color="auto" w:fill="FFFFFF"/>
        </w:rPr>
        <w:t>万元，占总投资的</w:t>
      </w:r>
      <w:r>
        <w:rPr>
          <w:rFonts w:ascii="仿宋_GB2312" w:eastAsia="仿宋_GB2312" w:cs="仿宋_GB2312"/>
          <w:color w:val="000000"/>
          <w:kern w:val="0"/>
          <w:sz w:val="32"/>
          <w:szCs w:val="32"/>
          <w:shd w:val="clear" w:color="auto" w:fill="FFFFFF"/>
        </w:rPr>
        <w:t>40%</w:t>
      </w:r>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adjustRightInd w:val="0"/>
        <w:snapToGrid w:val="0"/>
        <w:spacing w:line="540" w:lineRule="exact"/>
        <w:ind w:firstLineChars="200" w:firstLine="640"/>
        <w:rPr>
          <w:rFonts w:ascii="仿宋_GB2312" w:eastAsia="仿宋_GB2312" w:hint="eastAsia"/>
          <w:color w:val="000000"/>
          <w:kern w:val="0"/>
          <w:sz w:val="32"/>
        </w:rPr>
      </w:pPr>
      <w:r>
        <w:rPr>
          <w:rFonts w:ascii="仿宋_GB2312" w:eastAsia="仿宋_GB2312" w:cs="仿宋_GB2312" w:hint="eastAsia"/>
          <w:snapToGrid w:val="0"/>
          <w:color w:val="000000"/>
          <w:kern w:val="0"/>
          <w:sz w:val="32"/>
          <w:szCs w:val="32"/>
        </w:rPr>
        <w:t>根据所报《</w:t>
      </w:r>
      <w:r>
        <w:rPr>
          <w:rFonts w:ascii="仿宋_GB2312" w:eastAsia="仿宋_GB2312" w:cs="仿宋_GB2312" w:hint="eastAsia"/>
          <w:snapToGrid w:val="0"/>
          <w:color w:val="000000"/>
          <w:kern w:val="0"/>
          <w:sz w:val="32"/>
          <w:szCs w:val="32"/>
          <w:shd w:val="clear" w:color="auto" w:fill="FFFFFF"/>
          <w:lang w:val="en-US" w:eastAsia="zh-CN"/>
        </w:rPr>
        <w:t>报告表</w:t>
      </w:r>
      <w:r>
        <w:rPr>
          <w:rFonts w:ascii="仿宋_GB2312" w:eastAsia="仿宋_GB2312" w:cs="仿宋_GB2312" w:hint="eastAsia"/>
          <w:snapToGrid w:val="0"/>
          <w:color w:val="000000"/>
          <w:kern w:val="0"/>
          <w:sz w:val="32"/>
          <w:szCs w:val="32"/>
        </w:rPr>
        <w:t>》、报告</w:t>
      </w:r>
      <w:r>
        <w:rPr>
          <w:rFonts w:ascii="仿宋_GB2312" w:eastAsia="仿宋_GB2312" w:cs="仿宋_GB2312" w:hint="eastAsia"/>
          <w:snapToGrid w:val="0"/>
          <w:color w:val="000000"/>
          <w:kern w:val="0"/>
          <w:sz w:val="32"/>
          <w:szCs w:val="32"/>
          <w:lang w:val="en-US" w:eastAsia="zh-CN"/>
        </w:rPr>
        <w:t>表</w:t>
      </w:r>
      <w:r>
        <w:rPr>
          <w:rFonts w:ascii="仿宋_GB2312" w:eastAsia="仿宋_GB2312" w:cs="仿宋_GB2312" w:hint="eastAsia"/>
          <w:snapToGrid w:val="0"/>
          <w:color w:val="000000"/>
          <w:kern w:val="0"/>
          <w:sz w:val="32"/>
          <w:szCs w:val="32"/>
        </w:rPr>
        <w:t>评估意见、各有关部门意见、本项目公示意见反馈情况以及企业承诺等</w:t>
      </w:r>
      <w:r>
        <w:rPr>
          <w:rFonts w:ascii="仿宋_GB2312" w:eastAsia="仿宋_GB2312" w:cs="仿宋_GB2312" w:hint="eastAsia"/>
          <w:snapToGrid w:val="0"/>
          <w:color w:val="000000"/>
          <w:kern w:val="0"/>
          <w:sz w:val="32"/>
          <w:szCs w:val="32"/>
          <w:lang w:eastAsia="zh-CN"/>
        </w:rPr>
        <w:t>，</w:t>
      </w:r>
      <w:r>
        <w:rPr>
          <w:rFonts w:ascii="仿宋_GB2312" w:eastAsia="仿宋_GB2312" w:cs="仿宋_GB2312" w:hint="eastAsia"/>
          <w:snapToGrid w:val="0"/>
          <w:color w:val="000000"/>
          <w:kern w:val="0"/>
          <w:sz w:val="32"/>
          <w:szCs w:val="32"/>
          <w:shd w:val="clear" w:color="auto" w:fill="FFFFFF"/>
        </w:rPr>
        <w:t>在项目</w:t>
      </w:r>
      <w:r>
        <w:rPr>
          <w:rFonts w:ascii="仿宋_GB2312" w:eastAsia="仿宋_GB2312" w:cs="仿宋_GB2312" w:hint="eastAsia"/>
          <w:snapToGrid w:val="0"/>
          <w:color w:val="000000"/>
          <w:kern w:val="0"/>
          <w:sz w:val="32"/>
          <w:szCs w:val="32"/>
        </w:rPr>
        <w:t>全面严格落实国家和地方相关法律法规、规章、标准</w:t>
      </w:r>
      <w:r>
        <w:rPr>
          <w:rFonts w:ascii="仿宋_GB2312" w:eastAsia="仿宋_GB2312" w:cs="仿宋_GB2312" w:hint="eastAsia"/>
          <w:snapToGrid w:val="0"/>
          <w:color w:val="000000"/>
          <w:kern w:val="0"/>
          <w:sz w:val="32"/>
          <w:szCs w:val="32"/>
          <w:shd w:val="clear" w:color="auto" w:fill="FFFFFF"/>
        </w:rPr>
        <w:t>、生态环境部门监督管理等要求</w:t>
      </w:r>
      <w:r>
        <w:rPr>
          <w:rFonts w:ascii="仿宋_GB2312" w:eastAsia="仿宋_GB2312" w:cs="仿宋_GB2312" w:hint="eastAsia"/>
          <w:snapToGrid w:val="0"/>
          <w:color w:val="000000"/>
          <w:kern w:val="0"/>
          <w:sz w:val="32"/>
          <w:szCs w:val="32"/>
        </w:rPr>
        <w:t>以及</w:t>
      </w:r>
      <w:r>
        <w:rPr>
          <w:rFonts w:ascii="仿宋_GB2312" w:eastAsia="仿宋_GB2312" w:cs="仿宋_GB2312" w:hint="eastAsia"/>
          <w:snapToGrid w:val="0"/>
          <w:color w:val="000000"/>
          <w:kern w:val="0"/>
          <w:sz w:val="32"/>
          <w:szCs w:val="32"/>
          <w:shd w:val="clear" w:color="auto" w:fill="FFFFFF"/>
        </w:rPr>
        <w:t>《报告表》提出的各项辐射安全防护措施和辐射安全管理要求的前提下，</w:t>
      </w:r>
      <w:r>
        <w:rPr>
          <w:rFonts w:ascii="仿宋_GB2312" w:eastAsia="仿宋_GB2312" w:cs="仿宋_GB2312" w:hint="eastAsia"/>
          <w:snapToGrid w:val="0"/>
          <w:color w:val="000000"/>
          <w:kern w:val="0"/>
          <w:sz w:val="32"/>
          <w:szCs w:val="32"/>
        </w:rPr>
        <w:t>从环境保护角度考虑，</w:t>
      </w:r>
      <w:r>
        <w:rPr>
          <w:rFonts w:ascii="仿宋_GB2312" w:eastAsia="仿宋_GB2312" w:hint="eastAsia"/>
          <w:snapToGrid w:val="0"/>
          <w:color w:val="000000"/>
          <w:kern w:val="0"/>
          <w:sz w:val="32"/>
          <w:szCs w:val="32"/>
        </w:rPr>
        <w:t>我局原则</w:t>
      </w:r>
      <w:r>
        <w:rPr>
          <w:rFonts w:ascii="仿宋_GB2312" w:eastAsia="仿宋_GB2312" w:cs="仿宋_GB2312" w:hint="eastAsia"/>
          <w:snapToGrid w:val="0"/>
          <w:color w:val="000000"/>
          <w:kern w:val="0"/>
          <w:sz w:val="32"/>
          <w:szCs w:val="32"/>
          <w:shd w:val="clear" w:color="auto" w:fill="FFFFFF"/>
        </w:rPr>
        <w:t>同意《报告表》结论。你单位须严格按照《报告表》所列项目的性质、规模、地点、辐射安全防护措施和辐射安全管理要求等实施项目建设，未列入本报告及批复许可的内容，不得建设、投入运行。</w:t>
      </w:r>
    </w:p>
    <w:p>
      <w:pPr>
        <w:keepNext w:val="0"/>
        <w:keepLines w:val="0"/>
        <w:pageBreakBefore w:val="0"/>
        <w:widowControl w:val="0"/>
        <w:kinsoku/>
        <w:wordWrap/>
        <w:overflowPunct w:val="0"/>
        <w:topLinePunct w:val="0"/>
        <w:autoSpaceDE/>
        <w:autoSpaceDN/>
        <w:adjustRightInd w:val="0"/>
        <w:snapToGrid w:val="0"/>
        <w:spacing w:line="540" w:lineRule="exact"/>
        <w:ind w:firstLineChars="200" w:firstLine="640"/>
        <w:rPr>
          <w:rFonts w:ascii="仿宋_GB2312" w:eastAsia="仿宋_GB2312" w:hint="eastAsia"/>
          <w:color w:val="000000"/>
          <w:kern w:val="0"/>
          <w:sz w:val="32"/>
        </w:rPr>
      </w:pPr>
      <w:r>
        <w:rPr>
          <w:rFonts w:ascii="仿宋_GB2312" w:eastAsia="仿宋_GB2312" w:cs="仿宋_GB2312" w:hint="eastAsia"/>
          <w:snapToGrid w:val="0"/>
          <w:color w:val="000000"/>
          <w:kern w:val="0"/>
          <w:sz w:val="32"/>
          <w:szCs w:val="32"/>
          <w:shd w:val="clear" w:color="auto" w:fill="FFFFFF"/>
          <w:lang w:bidi="ar-SA"/>
        </w:rPr>
        <w:t>二、项目在设计、建设和运行过程中须认真落实《报告表》及相关的各项辐射安全防护措施和辐射安全管理要求，确保辐射环境安全，并重点做好以下工作：</w:t>
      </w:r>
    </w:p>
    <w:p>
      <w:pPr>
        <w:pStyle w:val="20"/>
        <w:keepNext w:val="0"/>
        <w:keepLines w:val="0"/>
        <w:pageBreakBefore w:val="0"/>
        <w:widowControl w:val="0"/>
        <w:kinsoku/>
        <w:wordWrap/>
        <w:overflowPunct w:val="0"/>
        <w:topLinePunct w:val="0"/>
        <w:autoSpaceDE/>
        <w:autoSpaceDN/>
        <w:adjustRightInd w:val="0"/>
        <w:snapToGrid w:val="0"/>
        <w:spacing w:line="540" w:lineRule="exact"/>
        <w:ind w:left="0" w:firstLineChars="200" w:firstLine="640"/>
        <w:rPr>
          <w:rFonts w:ascii="仿宋_GB2312" w:eastAsia="仿宋_GB2312" w:cs="Helvetica" w:hint="eastAsia"/>
          <w:snapToGrid w:val="0"/>
          <w:color w:val="000000"/>
          <w:kern w:val="0"/>
          <w:sz w:val="32"/>
          <w:szCs w:val="32"/>
        </w:rPr>
      </w:pPr>
      <w:r>
        <w:rPr>
          <w:rFonts w:ascii="仿宋_GB2312" w:eastAsia="仿宋_GB2312" w:cs="仿宋_GB2312" w:hint="eastAsia"/>
          <w:snapToGrid w:val="0"/>
          <w:color w:val="000000"/>
          <w:kern w:val="0"/>
          <w:sz w:val="32"/>
          <w:szCs w:val="32"/>
        </w:rPr>
        <w:t>（一）严格落实射线装置安全管理制度，明确专人负责辐射安全管理工作，建立健全符合相关</w:t>
      </w:r>
      <w:r>
        <w:rPr>
          <w:rFonts w:ascii="仿宋_GB2312" w:eastAsia="仿宋_GB2312" w:cs="Helvetica" w:hint="eastAsia"/>
          <w:snapToGrid w:val="0"/>
          <w:color w:val="000000"/>
          <w:kern w:val="0"/>
          <w:sz w:val="32"/>
          <w:szCs w:val="32"/>
        </w:rPr>
        <w:t>法律法规要求并具有可操作性的辐射事故应急预案和辐射安全管理规章制度，并贯彻落实到位且记录完备。</w:t>
      </w:r>
    </w:p>
    <w:p>
      <w:pPr>
        <w:keepNext w:val="0"/>
        <w:keepLines w:val="0"/>
        <w:pageBreakBefore w:val="0"/>
        <w:widowControl w:val="0"/>
        <w:kinsoku/>
        <w:wordWrap/>
        <w:overflowPunct w:val="0"/>
        <w:topLinePunct w:val="0"/>
        <w:autoSpaceDE/>
        <w:autoSpaceDN/>
        <w:adjustRightInd w:val="0"/>
        <w:snapToGrid w:val="0"/>
        <w:spacing w:line="540" w:lineRule="exact"/>
        <w:ind w:firstLineChars="200" w:firstLine="640"/>
        <w:rPr>
          <w:rFonts w:ascii="仿宋_GB2312" w:eastAsia="仿宋_GB2312" w:hint="eastAsia"/>
          <w:color w:val="000000"/>
          <w:kern w:val="0"/>
          <w:sz w:val="32"/>
        </w:rPr>
      </w:pPr>
      <w:r>
        <w:rPr>
          <w:rFonts w:ascii="仿宋_GB2312" w:eastAsia="仿宋_GB2312" w:cs="仿宋_GB2312" w:hint="eastAsia"/>
          <w:color w:val="000000"/>
          <w:kern w:val="0"/>
          <w:sz w:val="32"/>
          <w:szCs w:val="32"/>
        </w:rPr>
        <w:t>（二）严格落实国家和地方相关法律法规、规章、标准</w:t>
      </w:r>
      <w:r>
        <w:rPr>
          <w:rFonts w:ascii="仿宋_GB2312" w:eastAsia="仿宋_GB2312" w:cs="仿宋_GB2312" w:hint="eastAsia"/>
          <w:color w:val="000000"/>
          <w:kern w:val="0"/>
          <w:sz w:val="32"/>
          <w:szCs w:val="32"/>
          <w:shd w:val="clear" w:color="auto" w:fill="FFFFFF"/>
        </w:rPr>
        <w:t>、生态环境部门监督管理</w:t>
      </w:r>
      <w:r>
        <w:rPr>
          <w:rFonts w:ascii="仿宋_GB2312" w:eastAsia="仿宋_GB2312" w:cs="仿宋_GB2312" w:hint="eastAsia"/>
          <w:color w:val="000000"/>
          <w:kern w:val="0"/>
          <w:sz w:val="32"/>
          <w:szCs w:val="32"/>
        </w:rPr>
        <w:t>等要求以及《报告表》提出的具体要求</w:t>
      </w:r>
      <w:r>
        <w:rPr>
          <w:rFonts w:ascii="仿宋_GB2312" w:eastAsia="仿宋_GB2312" w:cs="仿宋_GB2312" w:hint="eastAsia"/>
          <w:color w:val="000000"/>
          <w:kern w:val="0"/>
          <w:sz w:val="32"/>
          <w:szCs w:val="32"/>
          <w:lang w:eastAsia="zh-CN"/>
        </w:rPr>
        <w:t>。</w:t>
      </w:r>
      <w:r>
        <w:rPr>
          <w:rFonts w:ascii="仿宋_GB2312" w:eastAsia="仿宋_GB2312" w:cs="仿宋_GB2312" w:hint="eastAsia"/>
          <w:snapToGrid w:val="0"/>
          <w:color w:val="000000"/>
          <w:kern w:val="0"/>
          <w:sz w:val="32"/>
          <w:szCs w:val="32"/>
          <w:lang w:eastAsia="zh-CN" w:bidi="ar-SA"/>
        </w:rPr>
        <w:t>一旦发生辐射事故应立即启动应急预案，采取应急措施，并在</w:t>
      </w:r>
      <w:r>
        <w:rPr>
          <w:rFonts w:ascii="仿宋_GB2312" w:eastAsia="仿宋_GB2312" w:cs="仿宋_GB2312" w:hint="eastAsia"/>
          <w:snapToGrid w:val="0"/>
          <w:color w:val="000000"/>
          <w:kern w:val="0"/>
          <w:sz w:val="32"/>
          <w:szCs w:val="32"/>
          <w:lang w:val="en-US" w:eastAsia="zh-CN" w:bidi="ar-SA"/>
        </w:rPr>
        <w:t>2小时内上报到生态环境主管部门等相关部门。</w:t>
      </w:r>
    </w:p>
    <w:p>
      <w:pPr>
        <w:keepNext w:val="0"/>
        <w:keepLines w:val="0"/>
        <w:pageBreakBefore w:val="0"/>
        <w:widowControl w:val="0"/>
        <w:kinsoku/>
        <w:wordWrap/>
        <w:overflowPunct w:val="0"/>
        <w:topLinePunct w:val="0"/>
        <w:autoSpaceDE/>
        <w:autoSpaceDN/>
        <w:adjustRightInd w:val="0"/>
        <w:snapToGrid w:val="0"/>
        <w:spacing w:line="540" w:lineRule="exact"/>
        <w:ind w:firstLineChars="200" w:firstLine="640"/>
        <w:rPr>
          <w:rFonts w:ascii="仿宋_GB2312" w:eastAsia="仿宋_GB2312" w:hint="eastAsia"/>
          <w:color w:val="000000"/>
          <w:kern w:val="0"/>
          <w:sz w:val="32"/>
        </w:rPr>
      </w:pPr>
      <w:r>
        <w:rPr>
          <w:rFonts w:ascii="仿宋_GB2312" w:eastAsia="仿宋_GB2312" w:cs="仿宋_GB2312" w:hint="eastAsia"/>
          <w:color w:val="000000"/>
          <w:kern w:val="0"/>
          <w:sz w:val="32"/>
          <w:szCs w:val="32"/>
          <w:shd w:val="clear" w:color="auto" w:fill="FFFFFF"/>
        </w:rPr>
        <w:t>（三）</w:t>
      </w:r>
      <w:r>
        <w:rPr>
          <w:rFonts w:ascii="仿宋_GB2312" w:eastAsia="仿宋_GB2312" w:cs="仿宋_GB2312" w:hint="eastAsia"/>
          <w:snapToGrid w:val="0"/>
          <w:color w:val="000000"/>
          <w:kern w:val="0"/>
          <w:sz w:val="32"/>
          <w:szCs w:val="32"/>
          <w:lang w:eastAsia="zh-CN" w:bidi="ar-SA"/>
        </w:rPr>
        <w:t>切实加强辐射安全防护及屏蔽措施</w:t>
      </w:r>
      <w:r>
        <w:rPr>
          <w:rFonts w:ascii="仿宋_GB2312" w:eastAsia="仿宋_GB2312" w:cs="仿宋_GB2312" w:hint="eastAsia"/>
          <w:snapToGrid w:val="0"/>
          <w:color w:val="000000"/>
          <w:kern w:val="0"/>
          <w:sz w:val="32"/>
          <w:szCs w:val="32"/>
          <w:lang w:bidi="ar-SA"/>
        </w:rPr>
        <w:t>，确保职业人员</w:t>
      </w:r>
      <w:r>
        <w:rPr>
          <w:rFonts w:ascii="仿宋_GB2312" w:eastAsia="仿宋_GB2312" w:cs="仿宋_GB2312" w:hint="eastAsia"/>
          <w:snapToGrid w:val="0"/>
          <w:color w:val="000000"/>
          <w:kern w:val="0"/>
          <w:sz w:val="32"/>
          <w:szCs w:val="32"/>
          <w:lang w:eastAsia="zh-CN" w:bidi="ar-SA"/>
        </w:rPr>
        <w:t>和公众人员所受剂量不超过《电离辐射防护与辐射源安全基本标准》(GB18871-2002)的标准限值、其他标准限值以及《报告表》中提出的剂量约束值要求。</w:t>
      </w:r>
    </w:p>
    <w:p>
      <w:pPr>
        <w:pStyle w:val="17"/>
        <w:keepNext w:val="0"/>
        <w:keepLines w:val="0"/>
        <w:pageBreakBefore w:val="0"/>
        <w:widowControl w:val="0"/>
        <w:kinsoku/>
        <w:wordWrap/>
        <w:overflowPunct w:val="0"/>
        <w:topLinePunct w:val="0"/>
        <w:autoSpaceDE/>
        <w:autoSpaceDN/>
        <w:bidi w:val="0"/>
        <w:adjustRightInd w:val="0"/>
        <w:snapToGrid w:val="0"/>
        <w:spacing w:line="540" w:lineRule="exact"/>
        <w:ind w:firstLineChars="200" w:firstLine="640"/>
        <w:jc w:val="both"/>
        <w:textAlignment w:val="auto"/>
        <w:rPr>
          <w:rFonts w:ascii="仿宋_GB2312" w:eastAsia="仿宋_GB2312" w:hint="eastAsia"/>
          <w:kern w:val="0"/>
          <w:sz w:val="32"/>
        </w:rPr>
      </w:pPr>
      <w:r>
        <w:rPr>
          <w:rFonts w:ascii="仿宋_GB2312" w:eastAsia="仿宋_GB2312" w:cs="仿宋_GB2312" w:hint="eastAsia"/>
          <w:kern w:val="0"/>
          <w:sz w:val="32"/>
          <w:szCs w:val="32"/>
        </w:rPr>
        <w:t>（四）</w:t>
      </w:r>
      <w:r>
        <w:rPr>
          <w:rFonts w:ascii="仿宋_GB2312" w:eastAsia="仿宋_GB2312" w:hint="eastAsia"/>
          <w:snapToGrid w:val="0"/>
          <w:kern w:val="0"/>
          <w:sz w:val="32"/>
          <w:szCs w:val="32"/>
        </w:rPr>
        <w:t>接到本批复后及时向生态环境部门申请办理辐射安全许可证</w:t>
      </w:r>
      <w:r>
        <w:rPr>
          <w:rFonts w:ascii="仿宋_GB2312" w:eastAsia="仿宋_GB2312" w:hint="eastAsia"/>
          <w:snapToGrid w:val="0"/>
          <w:kern w:val="0"/>
          <w:sz w:val="32"/>
          <w:szCs w:val="32"/>
          <w:lang w:eastAsia="zh-CN"/>
        </w:rPr>
        <w:t>相关事宜</w:t>
      </w:r>
      <w:r>
        <w:rPr>
          <w:rFonts w:ascii="仿宋_GB2312" w:eastAsia="仿宋_GB2312" w:hint="eastAsia"/>
          <w:snapToGrid w:val="0"/>
          <w:kern w:val="0"/>
          <w:sz w:val="32"/>
          <w:szCs w:val="32"/>
        </w:rPr>
        <w:t>。</w:t>
      </w:r>
      <w:r>
        <w:rPr>
          <w:rFonts w:ascii="仿宋_GB2312" w:eastAsia="仿宋_GB2312" w:cs="仿宋_GB2312" w:hint="eastAsia"/>
          <w:snapToGrid w:val="0"/>
          <w:kern w:val="0"/>
          <w:sz w:val="32"/>
          <w:szCs w:val="32"/>
          <w:lang w:bidi="ar-SA"/>
        </w:rPr>
        <w:t>从事</w:t>
      </w:r>
      <w:r>
        <w:rPr>
          <w:rFonts w:ascii="仿宋_GB2312" w:eastAsia="仿宋_GB2312" w:cs="仿宋_GB2312" w:hint="eastAsia"/>
          <w:snapToGrid w:val="0"/>
          <w:kern w:val="0"/>
          <w:sz w:val="32"/>
          <w:szCs w:val="32"/>
          <w:lang w:eastAsia="zh-CN" w:bidi="ar-SA"/>
        </w:rPr>
        <w:t>该项目</w:t>
      </w:r>
      <w:r>
        <w:rPr>
          <w:rFonts w:ascii="仿宋_GB2312" w:eastAsia="仿宋_GB2312" w:cs="仿宋_GB2312" w:hint="eastAsia"/>
          <w:snapToGrid w:val="0"/>
          <w:kern w:val="0"/>
          <w:sz w:val="32"/>
          <w:szCs w:val="32"/>
          <w:lang w:bidi="ar-SA"/>
        </w:rPr>
        <w:t>辐射工作的人员须通过辐射安全和防护专业知识及相关法律法规的培训和考核，</w:t>
      </w:r>
      <w:r>
        <w:rPr>
          <w:rFonts w:ascii="仿宋_GB2312" w:eastAsia="仿宋_GB2312" w:cs="Helvetica" w:hint="eastAsia"/>
          <w:snapToGrid w:val="0"/>
          <w:kern w:val="0"/>
          <w:sz w:val="32"/>
          <w:szCs w:val="32"/>
          <w:lang w:bidi="ar-SA"/>
        </w:rPr>
        <w:t>经考核合格取得上岗资格后方可上岗。</w:t>
      </w:r>
      <w:r>
        <w:rPr>
          <w:rFonts w:ascii="仿宋_GB2312" w:eastAsia="仿宋_GB2312" w:cs="仿宋_GB2312" w:hint="eastAsia"/>
          <w:snapToGrid w:val="0"/>
          <w:kern w:val="0"/>
          <w:sz w:val="32"/>
          <w:szCs w:val="32"/>
          <w:lang w:bidi="ar-SA"/>
        </w:rPr>
        <w:t>配备与辐射类型和辐射水平相适应的监测仪器和个人剂量报警仪、个人剂量计等辐射防护用品，并建立完善的个人剂量档案。</w:t>
      </w:r>
    </w:p>
    <w:p>
      <w:pPr>
        <w:keepNext w:val="0"/>
        <w:keepLines w:val="0"/>
        <w:pageBreakBefore w:val="0"/>
        <w:widowControl w:val="0"/>
        <w:kinsoku/>
        <w:wordWrap/>
        <w:overflowPunct w:val="0"/>
        <w:topLinePunct w:val="0"/>
        <w:autoSpaceDE/>
        <w:autoSpaceDN/>
        <w:adjustRightInd w:val="0"/>
        <w:snapToGrid w:val="0"/>
        <w:spacing w:line="540" w:lineRule="exact"/>
        <w:ind w:firstLineChars="200" w:firstLine="640"/>
        <w:rPr>
          <w:rFonts w:ascii="仿宋_GB2312" w:eastAsia="仿宋_GB2312" w:hint="eastAsia"/>
          <w:color w:val="000000"/>
          <w:kern w:val="0"/>
          <w:sz w:val="32"/>
        </w:rPr>
      </w:pPr>
      <w:r>
        <w:rPr>
          <w:rFonts w:ascii="仿宋_GB2312" w:eastAsia="仿宋_GB2312" w:cs="仿宋_GB2312" w:hint="eastAsia"/>
          <w:color w:val="000000"/>
          <w:kern w:val="0"/>
          <w:sz w:val="32"/>
          <w:szCs w:val="32"/>
          <w:lang w:val="en-US" w:eastAsia="zh-CN"/>
        </w:rPr>
        <w:t>（五）认真落实《报告表》中其他环境管理要求。</w:t>
      </w:r>
      <w:r>
        <w:rPr>
          <w:rFonts w:ascii="仿宋_GB2312" w:eastAsia="仿宋_GB2312" w:cs="仿宋_GB2312" w:hint="eastAsia"/>
          <w:snapToGrid w:val="0"/>
          <w:color w:val="000000"/>
          <w:kern w:val="0"/>
          <w:sz w:val="32"/>
          <w:szCs w:val="32"/>
          <w:lang w:val="en-US" w:eastAsia="zh-CN" w:bidi="ar-SA"/>
        </w:rPr>
        <w:t>如国家和地方另有更严格的相关法律法规、规章、标准、</w:t>
      </w:r>
      <w:r>
        <w:rPr>
          <w:rFonts w:ascii="仿宋_GB2312" w:eastAsia="仿宋_GB2312" w:cs="仿宋_GB2312" w:hint="eastAsia"/>
          <w:snapToGrid w:val="0"/>
          <w:color w:val="000000"/>
          <w:kern w:val="0"/>
          <w:sz w:val="32"/>
          <w:szCs w:val="32"/>
          <w:shd w:val="clear" w:color="auto" w:fill="FFFFFF"/>
          <w:lang w:bidi="ar-SA"/>
        </w:rPr>
        <w:t>生态环境部门监督管理、辐射安全防护和辐射安全管理</w:t>
      </w:r>
      <w:r>
        <w:rPr>
          <w:rFonts w:ascii="仿宋_GB2312" w:eastAsia="仿宋_GB2312" w:cs="仿宋_GB2312" w:hint="eastAsia"/>
          <w:snapToGrid w:val="0"/>
          <w:color w:val="000000"/>
          <w:kern w:val="0"/>
          <w:sz w:val="32"/>
          <w:szCs w:val="32"/>
          <w:lang w:val="en-US" w:eastAsia="zh-CN" w:bidi="ar-SA"/>
        </w:rPr>
        <w:t>等要求的，按最严格规定执行。</w:t>
      </w:r>
    </w:p>
    <w:p>
      <w:pPr>
        <w:pStyle w:val="15"/>
        <w:keepNext w:val="0"/>
        <w:keepLines w:val="0"/>
        <w:pageBreakBefore w:val="0"/>
        <w:widowControl w:val="0"/>
        <w:suppressLineNumbers w:val="0"/>
        <w:suppressAutoHyphens w:val="0"/>
        <w:overflowPunct w:val="0"/>
        <w:autoSpaceDE/>
        <w:autoSpaceDN/>
        <w:bidi w:val="0"/>
        <w:adjustRightInd w:val="0"/>
        <w:snapToGrid w:val="0"/>
        <w:spacing w:line="540" w:lineRule="exact"/>
        <w:ind w:firstLineChars="200" w:firstLine="640"/>
        <w:rPr>
          <w:rFonts w:ascii="仿宋_GB2312" w:eastAsia="仿宋_GB2312" w:cs="仿宋_GB2312" w:hint="eastAsia"/>
          <w:snapToGrid w:val="0"/>
          <w:color w:val="000000"/>
          <w:kern w:val="0"/>
          <w:sz w:val="32"/>
          <w:szCs w:val="32"/>
          <w:lang w:eastAsia="zh-CN" w:bidi="ar-SA"/>
        </w:rPr>
      </w:pPr>
      <w:r>
        <w:rPr>
          <w:rFonts w:ascii="仿宋_GB2312" w:eastAsia="仿宋_GB2312" w:hint="eastAsia"/>
          <w:snapToGrid w:val="0"/>
          <w:color w:val="000000"/>
          <w:kern w:val="0"/>
          <w:sz w:val="32"/>
          <w:szCs w:val="32"/>
        </w:rPr>
        <w:t>三、严格执行建设项目环境保护“三同时”制度。项目竣工后，须按规定开展</w:t>
      </w:r>
      <w:r>
        <w:rPr>
          <w:rFonts w:ascii="仿宋_GB2312" w:eastAsia="仿宋_GB2312" w:cs="仿宋" w:hint="eastAsia"/>
          <w:snapToGrid w:val="0"/>
          <w:color w:val="000000"/>
          <w:kern w:val="0"/>
          <w:sz w:val="32"/>
          <w:szCs w:val="32"/>
          <w:shd w:val="clear" w:color="auto" w:fill="FFFFFF"/>
        </w:rPr>
        <w:t>环境保护设施竣工验收工作</w:t>
      </w:r>
      <w:r>
        <w:rPr>
          <w:rFonts w:ascii="仿宋_GB2312" w:eastAsia="仿宋_GB2312" w:hint="eastAsia"/>
          <w:snapToGrid w:val="0"/>
          <w:color w:val="000000"/>
          <w:kern w:val="0"/>
          <w:sz w:val="32"/>
          <w:szCs w:val="32"/>
        </w:rPr>
        <w:t>。验收合格后，项目方可正式投入生产或者使用；未经验收或者验收不合格的，不得投入生产或者使用。本项目环境影响评价文件经批准后，项目发生重大变动的，</w:t>
      </w:r>
      <w:r>
        <w:rPr>
          <w:rFonts w:ascii="仿宋_GB2312" w:eastAsia="仿宋_GB2312" w:cs="仿宋_GB2312" w:hint="eastAsia"/>
          <w:color w:val="000000"/>
          <w:kern w:val="0"/>
          <w:sz w:val="32"/>
          <w:szCs w:val="32"/>
          <w:shd w:val="clear" w:color="auto" w:fill="FFFFFF"/>
        </w:rPr>
        <w:t>应按照相关法律法规的规定和要求，</w:t>
      </w:r>
      <w:r>
        <w:rPr>
          <w:rFonts w:ascii="仿宋_GB2312" w:eastAsia="仿宋_GB2312" w:cs="仿宋_GB2312" w:hint="eastAsia"/>
          <w:color w:val="000000"/>
          <w:kern w:val="0"/>
          <w:sz w:val="32"/>
          <w:szCs w:val="32"/>
          <w:shd w:val="clear" w:color="auto" w:fill="FFFFFF"/>
          <w:lang w:eastAsia="zh-CN"/>
        </w:rPr>
        <w:t>依法依规</w:t>
      </w:r>
      <w:r>
        <w:rPr>
          <w:rFonts w:ascii="仿宋_GB2312" w:eastAsia="仿宋_GB2312" w:cs="仿宋_GB2312" w:hint="eastAsia"/>
          <w:color w:val="000000"/>
          <w:kern w:val="0"/>
          <w:sz w:val="32"/>
          <w:szCs w:val="32"/>
          <w:shd w:val="clear" w:color="auto" w:fill="FFFFFF"/>
        </w:rPr>
        <w:t>重新报批本项目环境影响评价文件。自批复之日起五年后方决定开工建设的，须将环评文件报行政审批部门重新审核。</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Chars="200" w:firstLine="640"/>
        <w:jc w:val="both"/>
        <w:textAlignment w:val="auto"/>
        <w:rPr>
          <w:rFonts w:ascii="仿宋_GB2312" w:eastAsia="仿宋_GB2312" w:cs="仿宋_GB2312" w:hint="eastAsia"/>
          <w:snapToGrid w:val="0"/>
          <w:color w:val="000000"/>
          <w:kern w:val="0"/>
          <w:sz w:val="32"/>
          <w:szCs w:val="32"/>
          <w:shd w:val="clear" w:color="auto" w:fill="FFFFFF"/>
        </w:rPr>
      </w:pPr>
      <w:r>
        <w:rPr>
          <w:rFonts w:ascii="仿宋_GB2312" w:eastAsia="仿宋_GB2312" w:hint="eastAsia"/>
          <w:snapToGrid w:val="0"/>
          <w:color w:val="000000"/>
          <w:kern w:val="0"/>
          <w:sz w:val="32"/>
          <w:szCs w:val="32"/>
        </w:rPr>
        <w:t>四、你</w:t>
      </w:r>
      <w:r>
        <w:rPr>
          <w:rFonts w:ascii="仿宋_GB2312" w:eastAsia="仿宋_GB2312"/>
          <w:snapToGrid w:val="0"/>
          <w:color w:val="000000"/>
          <w:kern w:val="0"/>
          <w:sz w:val="32"/>
          <w:szCs w:val="32"/>
        </w:rPr>
        <w:t>公司</w:t>
      </w:r>
      <w:r>
        <w:rPr>
          <w:rFonts w:ascii="仿宋_GB2312" w:eastAsia="仿宋_GB2312" w:hint="eastAsia"/>
          <w:snapToGrid w:val="0"/>
          <w:color w:val="000000"/>
          <w:kern w:val="0"/>
          <w:sz w:val="32"/>
          <w:szCs w:val="32"/>
        </w:rPr>
        <w:t>在接到本批复后</w:t>
      </w:r>
      <w:r>
        <w:rPr>
          <w:rFonts w:ascii="仿宋_GB2312" w:eastAsia="仿宋_GB2312" w:cs="仿宋_GB2312" w:hint="eastAsia"/>
          <w:snapToGrid w:val="0"/>
          <w:color w:val="000000"/>
          <w:kern w:val="0"/>
          <w:sz w:val="32"/>
          <w:szCs w:val="32"/>
          <w:shd w:val="clear" w:color="auto" w:fill="FFFFFF"/>
        </w:rPr>
        <w:t>的10个工作日内</w:t>
      </w:r>
      <w:r>
        <w:rPr>
          <w:rFonts w:ascii="仿宋_GB2312" w:eastAsia="仿宋_GB2312" w:hint="eastAsia"/>
          <w:snapToGrid w:val="0"/>
          <w:color w:val="000000"/>
          <w:kern w:val="0"/>
          <w:sz w:val="32"/>
          <w:szCs w:val="32"/>
        </w:rPr>
        <w:t>，须将《报告表》及其批复文件送至生态环境行政主管部门备案，</w:t>
      </w:r>
      <w:r>
        <w:rPr>
          <w:rFonts w:ascii="仿宋_GB2312" w:eastAsia="仿宋_GB2312" w:cs="仿宋_GB2312" w:hint="eastAsia"/>
          <w:snapToGrid w:val="0"/>
          <w:color w:val="000000"/>
          <w:kern w:val="0"/>
          <w:sz w:val="32"/>
          <w:szCs w:val="32"/>
          <w:shd w:val="clear" w:color="auto" w:fill="FFFFFF"/>
        </w:rPr>
        <w:t xml:space="preserve">并按规定接受各级生态环境行政主管部门的监督检查。 </w:t>
      </w:r>
    </w:p>
    <w:p>
      <w:pPr>
        <w:pStyle w:val="15"/>
        <w:keepNext w:val="0"/>
        <w:keepLines w:val="0"/>
        <w:pageBreakBefore w:val="0"/>
        <w:widowControl w:val="0"/>
        <w:suppressLineNumbers w:val="0"/>
        <w:suppressAutoHyphens w:val="0"/>
        <w:kinsoku/>
        <w:wordWrap/>
        <w:overflowPunct w:val="0"/>
        <w:topLinePunct w:val="0"/>
        <w:autoSpaceDE/>
        <w:autoSpaceDN/>
        <w:bidi w:val="0"/>
        <w:adjustRightInd w:val="0"/>
        <w:snapToGrid w:val="0"/>
        <w:spacing w:line="540" w:lineRule="exact"/>
        <w:ind w:firstLineChars="200" w:firstLine="640"/>
        <w:jc w:val="both"/>
        <w:textAlignment w:val="auto"/>
        <w:rPr>
          <w:rFonts w:ascii="仿宋_GB2312" w:eastAsia="仿宋_GB2312" w:cs="仿宋_GB2312" w:hint="eastAsia"/>
          <w:snapToGrid w:val="0"/>
          <w:color w:val="000000"/>
          <w:kern w:val="0"/>
          <w:sz w:val="32"/>
          <w:szCs w:val="32"/>
          <w:shd w:val="clear" w:color="auto" w:fill="FFFFFF"/>
        </w:rPr>
      </w:pPr>
      <w:r>
        <w:rPr>
          <w:rFonts w:ascii="仿宋_GB2312" w:eastAsia="仿宋_GB2312" w:cs="仿宋_GB2312" w:hint="eastAsia"/>
          <w:snapToGrid w:val="0"/>
          <w:color w:val="000000"/>
          <w:kern w:val="0"/>
          <w:sz w:val="32"/>
          <w:szCs w:val="32"/>
          <w:shd w:val="clear" w:color="auto" w:fill="FFFFFF"/>
        </w:rPr>
        <w:t>五、本批复只适用于以上核技术利用建设项目，其他如涉及非核技术利用建设项目须按有关规定另行办理相关环保手续。</w:t>
      </w:r>
      <w:bookmarkEnd w:id="1"/>
    </w:p>
    <w:p>
      <w:pPr>
        <w:pStyle w:val="15"/>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0" w:firstLineChars="200" w:firstLine="640"/>
        <w:textAlignment w:val="auto"/>
        <w:rPr>
          <w:rFonts w:ascii="仿宋_GB2312" w:eastAsia="仿宋_GB2312" w:hint="eastAsia"/>
          <w:color w:val="000000"/>
          <w:kern w:val="0"/>
          <w:sz w:val="32"/>
        </w:rPr>
      </w:pPr>
    </w:p>
    <w:p>
      <w:pPr>
        <w:pStyle w:val="15"/>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0" w:firstLineChars="200" w:firstLine="640"/>
        <w:textAlignment w:val="auto"/>
        <w:rPr>
          <w:rFonts w:ascii="仿宋_GB2312" w:eastAsia="仿宋_GB2312" w:hint="eastAsia"/>
          <w:color w:val="000000"/>
          <w:kern w:val="0"/>
          <w:sz w:val="32"/>
          <w:szCs w:val="32"/>
        </w:rPr>
      </w:pPr>
    </w:p>
    <w:p>
      <w:pPr>
        <w:pStyle w:val="15"/>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0" w:firstLineChars="1750" w:firstLine="560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秦皇岛市行政审批局</w:t>
      </w:r>
    </w:p>
    <w:p>
      <w:pPr>
        <w:keepNext w:val="0"/>
        <w:keepLines w:val="0"/>
        <w:pageBreakBefore w:val="0"/>
        <w:widowControl w:val="0"/>
        <w:kinsoku/>
        <w:wordWrap/>
        <w:overflowPunct w:val="0"/>
        <w:topLinePunct w:val="0"/>
        <w:autoSpaceDE/>
        <w:autoSpaceDN/>
        <w:adjustRightInd w:val="0"/>
        <w:snapToGrid w:val="0"/>
        <w:spacing w:beforeAutospacing="0" w:afterAutospacing="0" w:line="540" w:lineRule="exact"/>
        <w:ind w:left="0" w:firstLineChars="1850" w:firstLine="5920"/>
        <w:rPr>
          <w:rFonts w:ascii="仿宋_GB2312" w:eastAsia="仿宋_GB2312" w:hint="eastAsia"/>
          <w:color w:val="000000"/>
          <w:kern w:val="0"/>
          <w:sz w:val="32"/>
          <w:szCs w:val="32"/>
        </w:rPr>
      </w:pPr>
      <w:r>
        <w:rPr>
          <w:rFonts w:ascii="仿宋_GB2312" w:eastAsia="仿宋_GB2312" w:cs="仿宋_GB2312" w:hint="eastAsia"/>
          <w:color w:val="000000"/>
          <w:kern w:val="0"/>
          <w:sz w:val="32"/>
          <w:szCs w:val="32"/>
          <w:shd w:val="clear" w:color="auto" w:fill="FFFFFF"/>
        </w:rPr>
        <w:t>202</w:t>
      </w:r>
      <w:r>
        <w:rPr>
          <w:rFonts w:ascii="仿宋_GB2312" w:eastAsia="仿宋_GB2312" w:cs="仿宋_GB2312"/>
          <w:color w:val="000000"/>
          <w:kern w:val="0"/>
          <w:sz w:val="32"/>
          <w:szCs w:val="32"/>
          <w:shd w:val="clear" w:color="auto" w:fill="FFFFFF"/>
          <w:lang w:val="en-US" w:eastAsia="zh-CN"/>
        </w:rPr>
        <w:t>5</w:t>
      </w:r>
      <w:r>
        <w:rPr>
          <w:rFonts w:ascii="仿宋_GB2312" w:eastAsia="仿宋_GB2312" w:cs="仿宋_GB2312" w:hint="eastAsia"/>
          <w:color w:val="000000"/>
          <w:kern w:val="0"/>
          <w:sz w:val="32"/>
          <w:szCs w:val="32"/>
          <w:shd w:val="clear" w:color="auto" w:fill="FFFFFF"/>
        </w:rPr>
        <w:t>年</w:t>
      </w:r>
      <w:r>
        <w:rPr>
          <w:rFonts w:ascii="仿宋_GB2312" w:eastAsia="仿宋_GB2312" w:cs="仿宋_GB2312"/>
          <w:color w:val="000000"/>
          <w:kern w:val="0"/>
          <w:sz w:val="32"/>
          <w:szCs w:val="32"/>
          <w:shd w:val="clear" w:color="auto" w:fill="FFFFFF"/>
        </w:rPr>
        <w:t>5</w:t>
      </w:r>
      <w:r>
        <w:rPr>
          <w:rFonts w:ascii="仿宋_GB2312" w:eastAsia="仿宋_GB2312" w:cs="仿宋_GB2312" w:hint="eastAsia"/>
          <w:color w:val="000000"/>
          <w:kern w:val="0"/>
          <w:sz w:val="32"/>
          <w:szCs w:val="32"/>
          <w:shd w:val="clear" w:color="auto" w:fill="FFFFFF"/>
        </w:rPr>
        <w:t>月</w:t>
      </w:r>
      <w:r>
        <w:rPr>
          <w:rFonts w:ascii="仿宋_GB2312" w:eastAsia="仿宋_GB2312" w:cs="仿宋_GB2312"/>
          <w:color w:val="000000"/>
          <w:kern w:val="0"/>
          <w:sz w:val="32"/>
          <w:szCs w:val="32"/>
          <w:shd w:val="clear" w:color="auto" w:fill="FFFFFF"/>
        </w:rPr>
        <w:t>9</w:t>
      </w:r>
      <w:r>
        <w:rPr>
          <w:rFonts w:ascii="仿宋_GB2312" w:eastAsia="仿宋_GB2312" w:cs="仿宋_GB2312" w:hint="eastAsia"/>
          <w:color w:val="000000"/>
          <w:kern w:val="0"/>
          <w:sz w:val="32"/>
          <w:szCs w:val="32"/>
          <w:shd w:val="clear" w:color="auto" w:fill="FFFFFF"/>
        </w:rPr>
        <w:t>日</w:t>
      </w:r>
    </w:p>
    <w:sectPr>
      <w:footerReference w:type="default" r:id="rId2"/>
      <w:pgSz w:w="11906" w:h="16838"/>
      <w:pgMar w:top="2098" w:right="1474" w:bottom="1984"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203" w:usb1="288F0000" w:usb2="00000006" w:usb3="00000000" w:csb0="00040001" w:csb1="00000000"/>
  </w:font>
  <w:font w:name="Times New Roman">
    <w:panose1 w:val="02020603050405020304"/>
    <w:charset w:val="86"/>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Helvetica">
    <w:altName w:val="Arial"/>
    <w:panose1 w:val="020B0604020202020204"/>
    <w:charset w:val="00"/>
    <w:family w:val="swiss"/>
    <w:pitch w:val="variable"/>
    <w:sig w:usb0="00000000" w:usb1="00000000" w:usb2="00000000" w:usb3="00000000" w:csb0="0000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297" distR="114297" simplePos="0" relativeHeight="21" behindDoc="0" locked="0" layoutInCell="1" hidden="0" allowOverlap="1">
              <wp:simplePos x="0" y="0"/>
              <wp:positionH relativeFrom="margin">
                <wp:align>outside</wp:align>
              </wp:positionH>
              <wp:positionV relativeFrom="paragraph">
                <wp:posOffset>0</wp:posOffset>
              </wp:positionV>
              <wp:extent cx="444498" cy="230250"/>
              <wp:wrapNone/>
              <wp:docPr id="1" name="_x0000_s2050"/>
              <wp:cNvGraphicFramePr>
                <a:graphicFrameLocks noChangeAspect="0"/>
              </wp:cNvGraphicFramePr>
              <a:graphic>
                <a:graphicData uri="http://schemas.microsoft.com/office/word/2010/wordprocessingShape">
                  <wps:wsp>
                    <wps:cNvSpPr/>
                    <wps:spPr>
                      <a:xfrm rot="0">
                        <a:off x="0" y="0"/>
                        <a:ext cx="444498" cy="230250"/>
                      </a:xfrm>
                      <a:prstGeom prst="rect"/>
                      <a:noFill/>
                      <a:ln w="9525" cmpd="sng" cap="flat">
                        <a:noFill/>
                        <a:prstDash val="solid"/>
                        <a:miter/>
                      </a:ln>
                    </wps:spPr>
                    <wps:txbx id="1">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50" o:spid="_x0000_s2" filled="f" stroked="f" style="position:absolute;margin-left:0.0pt;margin-top:0.0pt;width:34.99992pt;height:18.13pt;z-index:21;mso-position-horizontal:outside;mso-position-horizontal-relative:margin;mso-position-vertical:absolute;mso-wrap-distance-left:8.999843pt;mso-wrap-distance-right:8.999843pt;mso-wrap-style:none;">
              <v:stroke/>
              <v:textbox id="848" inset="0mm,0mm,0mm,0mm" o:insetmode="custom" style="layout-flow:horizontal;v-text-anchor:top;mso-fit-shape-to-text:t;">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rect>
          </w:pict>
        </mc:Fallback>
      </mc:AlternateContent>
    </w:r>
    <w:r>
      <mc:AlternateContent>
        <mc:Choice Requires="wps">
          <w:drawing>
            <wp:anchor distT="0" distB="0" distL="114297" distR="114297" simplePos="0" relativeHeight="17" behindDoc="0" locked="0" layoutInCell="1" hidden="0" allowOverlap="1">
              <wp:simplePos x="0" y="0"/>
              <wp:positionH relativeFrom="margin">
                <wp:align>outside</wp:align>
              </wp:positionH>
              <wp:positionV relativeFrom="paragraph">
                <wp:posOffset>0</wp:posOffset>
              </wp:positionV>
              <wp:extent cx="76200" cy="139526"/>
              <wp:wrapNone/>
              <wp:docPr id="4" name="_x0000_s204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
                      <w:txbxContent>
                        <w:p>
                          <w:pPr>
                            <w:pStyle w:val="19"/>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2049" o:spid="_x0000_s4" filled="f" stroked="f" style="position:absolute;margin-left:0.0pt;margin-top:0.0pt;width:6.0pt;height:10.986328pt;z-index:17;mso-position-horizontal:outside;mso-position-horizontal-relative:margin;mso-position-vertical:absolute;mso-wrap-distance-left:8.999843pt;mso-wrap-distance-right:8.999843pt;mso-wrap-style:none;">
              <v:stroke/>
              <v:textbox id="849" inset="0mm,0mm,0mm,0mm" o:insetmode="custom" style="layout-flow:horizontal;v-text-anchor:top;mso-fit-shape-to-text:t;">
                <w:txbxContent>
                  <w:p>
                    <w:pPr>
                      <w:pStyle w:val="19"/>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TM5MjczMTQyNjAwYmVmYTllMmM1MGM0MGU5MDlhZWE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Normal Indent"/>
    <w:qFormat/>
    <w:basedOn w:val="0"/>
    <w:next w:val="17"/>
    <w:pPr>
      <w:ind w:firstLine="420"/>
    </w:pPr>
  </w:style>
  <w:style w:type="paragraph" w:styleId="16">
    <w:name w:val="Body Text"/>
    <w:qFormat/>
    <w:basedOn w:val="0"/>
    <w:next w:val="18"/>
    <w:rPr>
      <w:sz w:val="28"/>
    </w:rPr>
  </w:style>
  <w:style w:type="paragraph" w:customStyle="1" w:yozoId="4094" w:styleId="17">
    <w:name w:val="样式 正文文本 + 首行缩进:  2 字符"/>
    <w:qFormat/>
    <w:basedOn w:val="16"/>
    <w:next w:val="0"/>
    <w:pPr>
      <w:spacing w:line="480" w:lineRule="exact"/>
      <w:ind w:firstLineChars="200" w:firstLine="200"/>
    </w:pPr>
    <w:rPr>
      <w:rFonts w:ascii="宋体" w:cs="宋体"/>
      <w:color w:val="000000"/>
      <w:sz w:val="24"/>
      <w:u w:val="none" w:color="000000"/>
      <w:lang w:val="en-US" w:eastAsia="zh-CN"/>
    </w:rPr>
  </w:style>
  <w:style w:type="paragraph" w:styleId="18">
    <w:name w:val="toc 2"/>
    <w:qFormat/>
    <w:basedOn w:val="0"/>
    <w:next w:val="0"/>
    <w:pPr>
      <w:ind w:leftChars="200" w:left="200"/>
    </w:pPr>
  </w:style>
  <w:style w:type="paragraph" w:styleId="19">
    <w:name w:val="footer"/>
    <w:qFormat/>
    <w:basedOn w:val="0"/>
    <w:pPr>
      <w:tabs>
        <w:tab w:val="center" w:pos="4153"/>
        <w:tab w:val="right" w:pos="8306"/>
      </w:tabs>
      <w:snapToGrid w:val="0"/>
      <w:jc w:val="left"/>
    </w:pPr>
    <w:rPr>
      <w:sz w:val="18"/>
    </w:rPr>
  </w:style>
  <w:style w:type="paragraph" w:styleId="20">
    <w:name w:val="toc 1"/>
    <w:qFormat/>
    <w:basedOn w:val="0"/>
    <w:next w:val="0"/>
  </w:style>
  <w:style w:type="paragraph" w:styleId="21">
    <w:name w:val="Normal (Web)"/>
    <w:qFormat/>
    <w:basedOn w:val="0"/>
    <w:pPr>
      <w:spacing w:before="100" w:beforeAutospacing="1" w:after="100" w:afterAutospacing="1"/>
      <w:jc w:val="left"/>
    </w:pPr>
    <w:rPr>
      <w:kern w:val="0"/>
      <w:sz w:val="24"/>
    </w:rPr>
  </w:style>
  <w:style w:type="paragraph" w:styleId="22">
    <w:name w:val="Body Text First Indent"/>
    <w:qFormat/>
    <w:basedOn w:val="0"/>
    <w:next w:val="16"/>
    <w:pPr>
      <w:widowControl w:val="0"/>
      <w:spacing w:after="120"/>
      <w:ind w:firstLineChars="100" w:firstLine="100"/>
      <w:jc w:val="both"/>
    </w:pPr>
    <w:rPr>
      <w:rFonts w:ascii="Calibri" w:eastAsia="宋体" w:cs="Times New Roman" w:hAnsi="Calibri"/>
      <w:kern w:val="2"/>
      <w:sz w:val="21"/>
      <w:szCs w:val="24"/>
      <w:lang w:val="en-US" w:eastAsia="zh-CN" w:bidi="ar-SA"/>
    </w:rPr>
  </w:style>
  <w:style w:type="paragraph" w:customStyle="1" w:yozoId="4094" w:styleId="23">
    <w:name w:val="默认段落"/>
    <w:qFormat/>
    <w:pPr>
      <w:widowControl w:val="0"/>
      <w:jc w:val="both"/>
    </w:pPr>
    <w:rPr>
      <w:rFonts w:ascii="Calibri" w:eastAsia="宋体" w:cs="Times New Roman" w:hAnsi="Calibri"/>
      <w:kern w:val="2"/>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8D7E5F0C-53C3-4C47-865F-B960FDB7BC6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584</TotalTime>
  <Application>Yozo_Office9.0.5978.102ZH.HE59</Application>
  <Pages>3</Pages>
  <Words>0</Words>
  <Characters>1212</Characters>
  <Lines>0</Lines>
  <Paragraphs>21</Paragraphs>
  <CharactersWithSpaces>1616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Administrator</cp:lastModifiedBy>
  <cp:revision>5</cp:revision>
  <dcterms:created xsi:type="dcterms:W3CDTF">2020-10-16T00:57:00Z</dcterms:created>
  <dcterms:modified xsi:type="dcterms:W3CDTF">2025-05-08T07:21:26Z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DC23FABB74764184BB4085C229852EBA</vt:lpwstr>
  </property>
</Properties>
</file>