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hAnsi="仿宋" w:eastAsia="仿宋" w:cs="Times New Roman"/>
          <w:b/>
          <w:bCs/>
          <w:kern w:val="0"/>
          <w:sz w:val="44"/>
          <w:szCs w:val="44"/>
        </w:rPr>
      </w:pPr>
      <w:r>
        <w:rPr>
          <w:rFonts w:hint="eastAsia" w:ascii="仿宋" w:hAns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7"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秦审批环准许〔202</w:t>
      </w:r>
      <w:r>
        <w:rPr>
          <w:rFonts w:hint="default" w:ascii="Times New Roman" w:hAnsi="Times New Roman" w:eastAsia="仿宋_GB2312" w:cs="仿宋_GB2312"/>
          <w:color w:val="auto"/>
          <w:sz w:val="32"/>
          <w:szCs w:val="32"/>
          <w:lang w:eastAsia="zh-CN"/>
        </w:rPr>
        <w:t>5</w:t>
      </w:r>
      <w:r>
        <w:rPr>
          <w:rFonts w:hint="eastAsia" w:ascii="Times New Roman" w:hAnsi="Times New Roman" w:eastAsia="仿宋_GB2312" w:cs="仿宋_GB2312"/>
          <w:color w:val="auto"/>
          <w:sz w:val="32"/>
          <w:szCs w:val="32"/>
        </w:rPr>
        <w:t>〕0</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-00</w:t>
      </w:r>
      <w:r>
        <w:rPr>
          <w:rFonts w:hint="eastAsia" w:ascii="Times New Roman" w:hAnsi="Times New Roman" w:eastAsia="仿宋_GB2312" w:cs="仿宋_GB2312"/>
          <w:color w:val="auto"/>
          <w:sz w:val="32"/>
          <w:szCs w:val="32"/>
          <w:lang w:val="en-US" w:eastAsia="zh-CN"/>
        </w:rPr>
        <w:t>1</w:t>
      </w:r>
      <w:r>
        <w:rPr>
          <w:rFonts w:hint="default" w:ascii="Times New Roman" w:hAnsi="Times New Roman" w:eastAsia="仿宋_GB2312" w:cs="仿宋_GB2312"/>
          <w:color w:val="auto"/>
          <w:sz w:val="32"/>
          <w:szCs w:val="32"/>
          <w:lang w:eastAsia="zh-CN"/>
        </w:rPr>
        <w:t>6</w:t>
      </w:r>
      <w:r>
        <w:rPr>
          <w:rFonts w:hint="eastAsia" w:ascii="Times New Roman" w:hAnsi="Times New Roman" w:eastAsia="仿宋_GB2312" w:cs="仿宋_GB2312"/>
          <w:color w:val="auto"/>
          <w:sz w:val="32"/>
          <w:szCs w:val="32"/>
        </w:rPr>
        <w:t>号</w:t>
      </w:r>
    </w:p>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auto"/>
        <w:rPr>
          <w:rFonts w:hint="default"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kern w:val="44"/>
          <w:sz w:val="44"/>
          <w:szCs w:val="44"/>
          <w:lang w:val="en-US" w:eastAsia="zh-CN"/>
        </w:rPr>
        <w:t>秦皇岛盛通光伏发电有限公司100MW市场化并网平价光伏项目</w:t>
      </w:r>
      <w:r>
        <w:rPr>
          <w:rFonts w:hint="default" w:ascii="方正小标宋简体" w:hAnsi="方正小标宋简体" w:eastAsia="方正小标宋简体" w:cs="方正小标宋简体"/>
          <w:kern w:val="44"/>
          <w:sz w:val="44"/>
          <w:szCs w:val="44"/>
          <w:lang w:eastAsia="zh-CN"/>
        </w:rPr>
        <w:t>（重新报批）</w:t>
      </w:r>
      <w:r>
        <w:rPr>
          <w:rFonts w:hint="eastAsia" w:ascii="方正小标宋简体" w:hAnsi="方正小标宋简体" w:eastAsia="方正小标宋简体" w:cs="方正小标宋简体"/>
          <w:kern w:val="44"/>
          <w:sz w:val="44"/>
          <w:szCs w:val="44"/>
        </w:rPr>
        <w:t>环境影响报告表的批复</w:t>
      </w:r>
    </w:p>
    <w:p>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仿宋" w:hAnsi="仿宋" w:eastAsia="仿宋" w:cs="Times New Roman"/>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秦皇岛盛通光伏发电有限公司</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秦皇岛盛通光伏发电有限公司100MW市场化并网平价光伏项目（重新报批）</w:t>
      </w:r>
      <w:r>
        <w:rPr>
          <w:rFonts w:hint="eastAsia" w:ascii="仿宋_GB2312" w:hAnsi="仿宋_GB2312" w:eastAsia="仿宋_GB2312" w:cs="仿宋_GB2312"/>
          <w:sz w:val="32"/>
          <w:szCs w:val="32"/>
        </w:rPr>
        <w:t>环境影响报告表》（以下简称《报告表》）</w:t>
      </w:r>
      <w:r>
        <w:rPr>
          <w:rFonts w:hint="eastAsia" w:ascii="仿宋_GB2312" w:hAnsi="仿宋_GB2312" w:eastAsia="仿宋_GB2312" w:cs="仿宋_GB2312"/>
          <w:color w:val="000000"/>
          <w:sz w:val="32"/>
          <w:szCs w:val="32"/>
          <w:shd w:val="clear" w:color="auto" w:fill="FFFFFF"/>
        </w:rPr>
        <w:t>审批申请</w:t>
      </w:r>
      <w:r>
        <w:rPr>
          <w:rFonts w:hint="eastAsia" w:ascii="仿宋_GB2312" w:hAnsi="仿宋_GB2312" w:eastAsia="仿宋_GB2312" w:cs="仿宋_GB2312"/>
          <w:sz w:val="32"/>
          <w:szCs w:val="32"/>
        </w:rPr>
        <w:t>及相关材料</w:t>
      </w:r>
      <w:r>
        <w:rPr>
          <w:rFonts w:hint="eastAsia" w:ascii="仿宋_GB2312" w:hAnsi="仿宋_GB2312" w:eastAsia="仿宋_GB2312" w:cs="仿宋_GB2312"/>
          <w:color w:val="000000"/>
          <w:kern w:val="0"/>
          <w:sz w:val="32"/>
          <w:szCs w:val="32"/>
        </w:rPr>
        <w:t>收悉。</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kern w:val="0"/>
          <w:sz w:val="32"/>
          <w:szCs w:val="32"/>
          <w:lang w:val="en-US" w:eastAsia="zh-CN"/>
        </w:rPr>
        <w:t>环境影响</w:t>
      </w:r>
      <w:r>
        <w:rPr>
          <w:rFonts w:hint="eastAsia" w:ascii="仿宋_GB2312" w:hAnsi="仿宋_GB2312" w:eastAsia="仿宋_GB2312" w:cs="仿宋_GB2312"/>
          <w:color w:val="auto"/>
          <w:kern w:val="0"/>
          <w:sz w:val="32"/>
          <w:szCs w:val="32"/>
        </w:rPr>
        <w:t>报告</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结论、专家意见</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rPr>
        <w:t>环境影响特点及</w:t>
      </w:r>
      <w:r>
        <w:rPr>
          <w:rFonts w:hint="eastAsia" w:ascii="仿宋_GB2312" w:hAnsi="仿宋_GB2312" w:eastAsia="仿宋_GB2312" w:cs="仿宋_GB2312"/>
          <w:color w:val="auto"/>
          <w:kern w:val="0"/>
          <w:sz w:val="32"/>
          <w:szCs w:val="32"/>
          <w:lang w:val="en-US" w:eastAsia="zh-CN"/>
        </w:rPr>
        <w:t>公示反馈等方面情况</w:t>
      </w:r>
      <w:r>
        <w:rPr>
          <w:rFonts w:hint="eastAsia" w:ascii="仿宋_GB2312" w:hAnsi="仿宋_GB2312" w:eastAsia="仿宋_GB2312" w:cs="仿宋_GB2312"/>
          <w:color w:val="auto"/>
          <w:kern w:val="0"/>
          <w:sz w:val="32"/>
          <w:szCs w:val="32"/>
        </w:rPr>
        <w:t xml:space="preserve">，经研究，现批复如下：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项目建设内容和总体要求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7</w:t>
      </w:r>
      <w:r>
        <w:rPr>
          <w:rFonts w:hint="eastAsia" w:ascii="仿宋_GB2312" w:hAnsi="仿宋_GB2312" w:eastAsia="仿宋_GB2312" w:cs="仿宋_GB2312"/>
          <w:sz w:val="32"/>
          <w:szCs w:val="32"/>
        </w:rPr>
        <w:t>日,我局以秦审批环准许〔202</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〕0</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-00</w:t>
      </w:r>
      <w:r>
        <w:rPr>
          <w:rFonts w:hint="default" w:ascii="仿宋_GB2312" w:hAnsi="仿宋_GB2312" w:eastAsia="仿宋_GB2312" w:cs="仿宋_GB2312"/>
          <w:sz w:val="32"/>
          <w:szCs w:val="32"/>
        </w:rPr>
        <w:t>17</w:t>
      </w:r>
      <w:r>
        <w:rPr>
          <w:rFonts w:hint="eastAsia" w:ascii="仿宋_GB2312" w:hAnsi="仿宋_GB2312" w:eastAsia="仿宋_GB2312" w:cs="仿宋_GB2312"/>
          <w:sz w:val="32"/>
          <w:szCs w:val="32"/>
        </w:rPr>
        <w:t>号文件，批复了《秦皇岛盛通光伏发电有限公司100MW市场化并网平价光伏项目环境影响报告</w:t>
      </w:r>
      <w:r>
        <w:rPr>
          <w:rFonts w:hint="default" w:ascii="仿宋_GB2312" w:hAnsi="仿宋_GB2312" w:eastAsia="仿宋_GB2312" w:cs="仿宋_GB2312"/>
          <w:sz w:val="32"/>
          <w:szCs w:val="32"/>
        </w:rPr>
        <w:t>表</w:t>
      </w:r>
      <w:r>
        <w:rPr>
          <w:rFonts w:hint="eastAsia" w:ascii="仿宋_GB2312" w:hAnsi="仿宋_GB2312" w:eastAsia="仿宋_GB2312" w:cs="仿宋_GB2312"/>
          <w:sz w:val="32"/>
          <w:szCs w:val="32"/>
        </w:rPr>
        <w:t>》，环评文件批复后，该项目进行了调整，</w:t>
      </w:r>
      <w:r>
        <w:rPr>
          <w:rFonts w:hint="default" w:ascii="仿宋_GB2312" w:hAnsi="仿宋_GB2312" w:eastAsia="仿宋_GB2312" w:cs="仿宋_GB2312"/>
          <w:sz w:val="32"/>
          <w:szCs w:val="32"/>
        </w:rPr>
        <w:t>调整后</w:t>
      </w:r>
      <w:r>
        <w:rPr>
          <w:rFonts w:hint="eastAsia" w:ascii="仿宋_GB2312" w:hAnsi="仿宋_GB2312" w:eastAsia="仿宋_GB2312" w:cs="仿宋_GB2312"/>
          <w:color w:val="auto"/>
          <w:sz w:val="32"/>
          <w:szCs w:val="32"/>
        </w:rPr>
        <w:t>主要建设内容：</w:t>
      </w:r>
      <w:r>
        <w:rPr>
          <w:rFonts w:hint="eastAsia" w:ascii="仿宋_GB2312" w:hAnsi="仿宋_GB2312" w:eastAsia="仿宋_GB2312" w:cs="仿宋_GB2312"/>
          <w:sz w:val="32"/>
          <w:szCs w:val="32"/>
          <w:lang w:eastAsia="zh-CN"/>
        </w:rPr>
        <w:t>本次光伏发电项目规划容量为100MW，采用650Wp单晶硅双面双玻组件，共计200088块。在肖营子镇</w:t>
      </w:r>
      <w:r>
        <w:rPr>
          <w:rFonts w:hint="eastAsia" w:ascii="仿宋_GB2312" w:hAnsi="仿宋_GB2312" w:eastAsia="仿宋_GB2312" w:cs="仿宋_GB2312"/>
          <w:color w:val="auto"/>
          <w:sz w:val="32"/>
          <w:szCs w:val="32"/>
          <w:lang w:eastAsia="zh-CN"/>
        </w:rPr>
        <w:t>荒山沟村</w:t>
      </w:r>
      <w:r>
        <w:rPr>
          <w:rFonts w:hint="eastAsia" w:ascii="仿宋_GB2312" w:hAnsi="仿宋_GB2312" w:eastAsia="仿宋_GB2312" w:cs="仿宋_GB2312"/>
          <w:sz w:val="32"/>
          <w:szCs w:val="32"/>
          <w:lang w:eastAsia="zh-CN"/>
        </w:rPr>
        <w:t>建设220kV升压站一座，其中配套建设综合楼总建筑面积</w:t>
      </w:r>
      <w:r>
        <w:rPr>
          <w:rFonts w:hint="default" w:ascii="仿宋_GB2312" w:hAnsi="仿宋_GB2312" w:eastAsia="仿宋_GB2312" w:cs="仿宋_GB2312"/>
          <w:sz w:val="32"/>
          <w:szCs w:val="32"/>
          <w:lang w:eastAsia="zh-CN"/>
        </w:rPr>
        <w:t>1916.69</w:t>
      </w:r>
      <w:r>
        <w:rPr>
          <w:rFonts w:hint="eastAsia" w:ascii="仿宋_GB2312" w:hAnsi="仿宋_GB2312" w:eastAsia="仿宋_GB2312" w:cs="仿宋_GB2312"/>
          <w:sz w:val="32"/>
          <w:szCs w:val="32"/>
          <w:lang w:eastAsia="zh-CN"/>
        </w:rPr>
        <w:t>平方米。同时配套建设容量为15MW/60MWh储能电站，集中设置在220kV升压站内。220kV升压站通过1回架空线路送至肖营子变电站220kV侧，一次建成。</w:t>
      </w:r>
      <w:r>
        <w:rPr>
          <w:rFonts w:hint="eastAsia" w:ascii="仿宋_GB2312" w:hAnsi="仿宋_GB2312" w:eastAsia="仿宋_GB2312" w:cs="仿宋_GB2312"/>
          <w:color w:val="auto"/>
          <w:sz w:val="32"/>
          <w:szCs w:val="32"/>
          <w:lang w:eastAsia="zh-CN"/>
        </w:rPr>
        <w:t>项目总投资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69973.4万</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sz w:val="32"/>
          <w:szCs w:val="32"/>
          <w:lang w:val="en-US" w:eastAsia="zh-CN"/>
        </w:rPr>
        <w:t>环保投资：365万元，环保投资比例：0.52%。</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项目不属于《产业结构调整指导目录》（20</w:t>
      </w:r>
      <w:r>
        <w:rPr>
          <w:rFonts w:hint="default" w:ascii="仿宋_GB2312" w:hAnsi="仿宋_GB2312" w:eastAsia="仿宋_GB2312" w:cs="仿宋_GB2312"/>
          <w:color w:val="auto"/>
          <w:kern w:val="0"/>
          <w:sz w:val="32"/>
          <w:szCs w:val="32"/>
        </w:rPr>
        <w:t>24</w:t>
      </w:r>
      <w:r>
        <w:rPr>
          <w:rFonts w:hint="eastAsia" w:ascii="仿宋_GB2312" w:hAnsi="仿宋_GB2312" w:eastAsia="仿宋_GB2312" w:cs="仿宋_GB2312"/>
          <w:color w:val="auto"/>
          <w:kern w:val="0"/>
          <w:sz w:val="32"/>
          <w:szCs w:val="32"/>
        </w:rPr>
        <w:t>年本）限制、淘汰类；本项目所采用的工艺和装备不属于《部分工业行业淘汰落后生产工艺装备和产品指导目录（2010年本）》（工业和信息化部工产业[2010]第122号）中国家淘汰落后的工艺装备</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该项目已通过</w:t>
      </w:r>
      <w:r>
        <w:rPr>
          <w:rFonts w:hint="eastAsia" w:ascii="仿宋_GB2312" w:hAnsi="仿宋_GB2312" w:eastAsia="仿宋_GB2312" w:cs="仿宋_GB2312"/>
          <w:color w:val="auto"/>
          <w:kern w:val="0"/>
          <w:sz w:val="32"/>
          <w:szCs w:val="32"/>
          <w:lang w:eastAsia="zh-CN"/>
        </w:rPr>
        <w:t>青龙满族自治县</w:t>
      </w:r>
      <w:r>
        <w:rPr>
          <w:rFonts w:hint="eastAsia" w:ascii="仿宋_GB2312" w:hAnsi="仿宋_GB2312" w:eastAsia="仿宋_GB2312" w:cs="仿宋_GB2312"/>
          <w:color w:val="auto"/>
          <w:kern w:val="0"/>
          <w:sz w:val="32"/>
          <w:szCs w:val="32"/>
          <w:lang w:val="en-US" w:eastAsia="zh-CN"/>
        </w:rPr>
        <w:t>数据和政务服务局</w:t>
      </w:r>
      <w:r>
        <w:rPr>
          <w:rFonts w:hint="eastAsia" w:ascii="仿宋_GB2312" w:hAnsi="仿宋_GB2312" w:eastAsia="仿宋_GB2312" w:cs="仿宋_GB2312"/>
          <w:color w:val="auto"/>
          <w:kern w:val="0"/>
          <w:sz w:val="32"/>
          <w:szCs w:val="32"/>
        </w:rPr>
        <w:t>备案（备案编号：</w:t>
      </w:r>
      <w:r>
        <w:rPr>
          <w:rFonts w:hint="eastAsia" w:ascii="仿宋_GB2312" w:hAnsi="仿宋_GB2312" w:eastAsia="仿宋_GB2312" w:cs="仿宋_GB2312"/>
          <w:color w:val="auto"/>
          <w:sz w:val="32"/>
          <w:szCs w:val="32"/>
          <w:lang w:eastAsia="zh-CN"/>
        </w:rPr>
        <w:t>青审批投资</w:t>
      </w:r>
      <w:r>
        <w:rPr>
          <w:rFonts w:hint="eastAsia" w:ascii="仿宋_GB2312" w:hAnsi="仿宋_GB2312" w:eastAsia="仿宋_GB2312" w:cs="仿宋_GB2312"/>
          <w:color w:val="auto"/>
          <w:sz w:val="32"/>
          <w:szCs w:val="32"/>
        </w:rPr>
        <w:t>备〔202</w:t>
      </w: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eastAsia="zh-CN"/>
        </w:rPr>
        <w:t>110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项目建设须符合</w:t>
      </w:r>
      <w:r>
        <w:rPr>
          <w:rFonts w:hint="eastAsia" w:ascii="仿宋_GB2312" w:hAnsi="仿宋_GB2312" w:eastAsia="仿宋_GB2312" w:cs="仿宋_GB2312"/>
          <w:kern w:val="0"/>
          <w:sz w:val="32"/>
          <w:szCs w:val="32"/>
          <w:lang w:eastAsia="zh-CN"/>
        </w:rPr>
        <w:t>“三线一单”空间管控要求；项目建设须符合城乡建设、土地利用、地方产业布局等相关规划要</w:t>
      </w:r>
      <w:r>
        <w:rPr>
          <w:rFonts w:hint="eastAsia" w:ascii="仿宋_GB2312" w:hAnsi="仿宋_GB2312" w:eastAsia="仿宋_GB2312" w:cs="仿宋_GB2312"/>
          <w:color w:val="auto"/>
          <w:kern w:val="0"/>
          <w:sz w:val="32"/>
          <w:szCs w:val="32"/>
          <w:lang w:eastAsia="zh-CN"/>
        </w:rPr>
        <w:t>求</w:t>
      </w:r>
      <w:r>
        <w:rPr>
          <w:rFonts w:hint="eastAsia" w:ascii="仿宋_GB2312" w:hAnsi="仿宋_GB2312" w:eastAsia="仿宋_GB2312" w:cs="仿宋_GB2312"/>
          <w:color w:val="auto"/>
          <w:kern w:val="0"/>
          <w:sz w:val="32"/>
          <w:szCs w:val="32"/>
        </w:rPr>
        <w:t>。</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rPr>
        <w:t>该《报告表》已通过专家审查，结合各方面专家意见及本项目公众参与调查情况及其公示反馈情况，</w:t>
      </w:r>
      <w:r>
        <w:rPr>
          <w:rFonts w:hint="eastAsia" w:ascii="仿宋_GB2312" w:hAnsi="仿宋_GB2312" w:eastAsia="仿宋_GB2312" w:cs="仿宋_GB2312"/>
          <w:color w:val="000000"/>
          <w:kern w:val="0"/>
          <w:sz w:val="32"/>
          <w:szCs w:val="32"/>
        </w:rPr>
        <w:t>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w:t>
      </w:r>
      <w:r>
        <w:rPr>
          <w:rFonts w:hint="eastAsia" w:ascii="仿宋_GB2312" w:hAnsi="仿宋_GB2312" w:eastAsia="仿宋_GB2312" w:cs="仿宋_GB2312"/>
          <w:spacing w:val="-6"/>
          <w:sz w:val="32"/>
          <w:szCs w:val="32"/>
        </w:rPr>
        <w:t>认真落实各项污染防治措施，加强环保设施运营管理，确保满足相关要求，</w:t>
      </w:r>
      <w:r>
        <w:rPr>
          <w:rFonts w:hint="eastAsia" w:ascii="仿宋_GB2312" w:hAnsi="仿宋_GB2312" w:eastAsia="仿宋_GB2312" w:cs="仿宋_GB2312"/>
          <w:color w:val="000000"/>
          <w:kern w:val="0"/>
          <w:sz w:val="32"/>
          <w:szCs w:val="32"/>
        </w:rPr>
        <w:t>并重点做好以下工作：</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eastAsia="zh-CN"/>
        </w:rPr>
        <w:t>（一）</w:t>
      </w:r>
      <w:r>
        <w:rPr>
          <w:rFonts w:hint="eastAsia" w:ascii="仿宋_GB2312" w:hAnsi="仿宋_GB2312" w:eastAsia="仿宋_GB2312" w:cs="仿宋_GB2312"/>
          <w:color w:val="000000"/>
          <w:spacing w:val="-6"/>
          <w:sz w:val="32"/>
          <w:szCs w:val="32"/>
        </w:rPr>
        <w:t>加强施工期环境管理，减少施工对环境的影响</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sz w:val="32"/>
          <w:szCs w:val="32"/>
          <w:lang w:eastAsia="zh-CN"/>
        </w:rPr>
        <w:t>项目施工期须</w:t>
      </w:r>
      <w:r>
        <w:rPr>
          <w:rFonts w:hint="eastAsia" w:ascii="仿宋_GB2312" w:hAnsi="仿宋_GB2312" w:eastAsia="仿宋_GB2312" w:cs="仿宋_GB2312"/>
          <w:sz w:val="32"/>
          <w:szCs w:val="32"/>
        </w:rPr>
        <w:t>严格落实生态环境保护措施。施工期应严格控制施工范围，合理布局施工场地，</w:t>
      </w:r>
      <w:r>
        <w:rPr>
          <w:rFonts w:hint="eastAsia" w:ascii="仿宋_GB2312" w:hAnsi="仿宋_GB2312" w:eastAsia="仿宋_GB2312" w:cs="仿宋_GB2312"/>
          <w:sz w:val="32"/>
          <w:szCs w:val="32"/>
          <w:lang w:eastAsia="zh-CN"/>
        </w:rPr>
        <w:t>合理安排施工时间，</w:t>
      </w:r>
      <w:r>
        <w:rPr>
          <w:rFonts w:hint="eastAsia" w:ascii="仿宋_GB2312" w:hAnsi="仿宋_GB2312" w:eastAsia="仿宋_GB2312" w:cs="仿宋_GB2312"/>
          <w:sz w:val="32"/>
          <w:szCs w:val="32"/>
        </w:rPr>
        <w:t>减少对地表扰动、植被破坏以及野生动物栖息地的影响</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sz w:val="32"/>
          <w:szCs w:val="32"/>
        </w:rPr>
        <w:t>做好土石方平衡，减少弃渣量</w:t>
      </w:r>
      <w:r>
        <w:rPr>
          <w:rFonts w:hint="eastAsia" w:ascii="仿宋_GB2312" w:hAnsi="仿宋_GB2312" w:eastAsia="仿宋_GB2312" w:cs="仿宋_GB2312"/>
          <w:sz w:val="32"/>
          <w:szCs w:val="32"/>
          <w:lang w:eastAsia="zh-CN"/>
        </w:rPr>
        <w:t>，地埋式集电线路管沟开挖过程中实施“分层开挖、分层堆放和分层回填”的措施，并按《报告表》要求做好生态恢复和水土流失防护措施。</w:t>
      </w:r>
      <w:r>
        <w:rPr>
          <w:rFonts w:hint="eastAsia" w:ascii="仿宋_GB2312" w:hAnsi="仿宋_GB2312" w:eastAsia="仿宋_GB2312" w:cs="仿宋_GB2312"/>
          <w:color w:val="000000"/>
          <w:spacing w:val="-6"/>
          <w:sz w:val="32"/>
          <w:szCs w:val="32"/>
        </w:rPr>
        <w:t>建设及施工单位要严格执行《河北省扬尘污染防治办法》(河北省人民政府令[2020]第1号)、《河北省扬尘治理18条》、《京津冀及周边地区落实大气污染防治行动计划实施细则》中有关施工扬尘的管理规定，同时结合《环境空气细颗粒物污染综合防治技术政策》及同类施工场地采取的抑尘措施，落实各项控制扬尘污染措施，施工场地扬尘排放执行河北省地方标准《施工场地扬尘排放标准》（DB13/2934-2019）的要求。</w:t>
      </w:r>
      <w:r>
        <w:rPr>
          <w:rFonts w:hint="eastAsia" w:ascii="仿宋_GB2312" w:hAnsi="仿宋_GB2312" w:eastAsia="仿宋_GB2312" w:cs="仿宋_GB2312"/>
          <w:color w:val="000000"/>
          <w:spacing w:val="-6"/>
          <w:sz w:val="32"/>
          <w:szCs w:val="32"/>
          <w:lang w:val="en-US" w:eastAsia="zh-CN"/>
        </w:rPr>
        <w:t>施工期无施工废水排放，本项目在施工区设置临时旱厕，定期清掏用作农肥</w:t>
      </w:r>
      <w:r>
        <w:rPr>
          <w:rFonts w:hint="eastAsia" w:ascii="仿宋_GB2312" w:hAnsi="仿宋_GB2312" w:eastAsia="仿宋_GB2312" w:cs="仿宋_GB2312"/>
          <w:color w:val="000000"/>
          <w:spacing w:val="-6"/>
          <w:sz w:val="32"/>
          <w:szCs w:val="32"/>
          <w:lang w:eastAsia="zh-CN"/>
        </w:rPr>
        <w:t>。项目</w:t>
      </w:r>
      <w:r>
        <w:rPr>
          <w:rFonts w:hint="eastAsia" w:ascii="仿宋_GB2312" w:hAnsi="仿宋_GB2312" w:eastAsia="仿宋_GB2312" w:cs="仿宋_GB2312"/>
          <w:color w:val="000000"/>
          <w:spacing w:val="-6"/>
          <w:sz w:val="32"/>
          <w:szCs w:val="32"/>
        </w:rPr>
        <w:t>采用低噪声施工机械，避免高噪声机械同时作业，合理安排施工时间及进度，禁止夜间施工，确需夜间施工的，提前到相关部门登记并告知周边村民，施工阶段作业噪声要满足《建筑施工场界环境噪声排放标准》(GB12523-2011)</w:t>
      </w:r>
      <w:r>
        <w:rPr>
          <w:rFonts w:hint="eastAsia" w:ascii="仿宋_GB2312" w:hAnsi="仿宋_GB2312" w:eastAsia="仿宋_GB2312" w:cs="仿宋_GB2312"/>
          <w:color w:val="000000"/>
          <w:spacing w:val="-6"/>
          <w:sz w:val="32"/>
          <w:szCs w:val="32"/>
          <w:lang w:eastAsia="zh-CN"/>
        </w:rPr>
        <w:t>中限值</w:t>
      </w:r>
      <w:r>
        <w:rPr>
          <w:rFonts w:hint="eastAsia" w:ascii="仿宋_GB2312" w:hAnsi="仿宋_GB2312" w:eastAsia="仿宋_GB2312" w:cs="仿宋_GB2312"/>
          <w:color w:val="000000"/>
          <w:spacing w:val="-6"/>
          <w:sz w:val="32"/>
          <w:szCs w:val="32"/>
        </w:rPr>
        <w:t>要求；</w:t>
      </w:r>
      <w:r>
        <w:rPr>
          <w:rFonts w:hint="eastAsia" w:ascii="仿宋_GB2312" w:hAnsi="仿宋_GB2312" w:eastAsia="仿宋_GB2312" w:cs="仿宋_GB2312"/>
          <w:color w:val="000000"/>
          <w:spacing w:val="-6"/>
          <w:sz w:val="32"/>
          <w:szCs w:val="32"/>
          <w:lang w:eastAsia="zh-CN"/>
        </w:rPr>
        <w:t>施工期生活垃圾由环卫部门统一收集处置，建筑垃圾须依法依规进行处置。</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（二）加强运营期环保设施管理，认真落实各项污染防治措施，确保满足相关要求。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rPr>
        <w:t>1</w:t>
      </w:r>
      <w:r>
        <w:rPr>
          <w:rFonts w:hint="eastAsia" w:ascii="仿宋_GB2312" w:hAnsi="仿宋_GB2312" w:eastAsia="仿宋_GB2312" w:cs="仿宋_GB2312"/>
          <w:color w:val="000000"/>
          <w:spacing w:val="-6"/>
          <w:sz w:val="32"/>
          <w:szCs w:val="32"/>
          <w:lang w:val="en-US" w:eastAsia="zh-CN"/>
        </w:rPr>
        <w:t>.严格落实大气污染防治措施</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本项目运营期无废气产生及排放。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2.严格落实水和土壤污染防治措施</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本项目升压站生活污水进入地埋式污水处理系统进行处理，处理后的废水绿化季节（每年3月-10月）用于厂区绿化及道路抑尘，非绿化季储存在清水池中，待春天用于厂区绿化。</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default" w:ascii="仿宋_GB2312" w:hAnsi="仿宋_GB2312" w:eastAsia="仿宋_GB2312" w:cs="仿宋_GB2312"/>
          <w:color w:val="000000"/>
          <w:spacing w:val="-6"/>
          <w:sz w:val="32"/>
          <w:szCs w:val="32"/>
          <w:lang w:val="en-US" w:eastAsia="zh-CN"/>
        </w:rPr>
        <w:t>水源保护地范围内光伏组件采用抹布直接擦拭，</w:t>
      </w:r>
      <w:r>
        <w:rPr>
          <w:rFonts w:hint="default" w:ascii="仿宋_GB2312" w:hAnsi="仿宋_GB2312" w:eastAsia="仿宋_GB2312" w:cs="仿宋_GB2312"/>
          <w:color w:val="000000"/>
          <w:spacing w:val="-6"/>
          <w:sz w:val="32"/>
          <w:szCs w:val="32"/>
          <w:lang w:eastAsia="zh-CN"/>
        </w:rPr>
        <w:t>无废水外排</w:t>
      </w:r>
      <w:r>
        <w:rPr>
          <w:rFonts w:hint="eastAsia" w:ascii="仿宋_GB2312" w:hAnsi="仿宋_GB2312" w:eastAsia="仿宋_GB2312" w:cs="仿宋_GB2312"/>
          <w:color w:val="000000"/>
          <w:spacing w:val="-6"/>
          <w:sz w:val="32"/>
          <w:szCs w:val="32"/>
          <w:lang w:val="en-US" w:eastAsia="zh-CN"/>
        </w:rPr>
        <w:t>；</w:t>
      </w:r>
      <w:r>
        <w:rPr>
          <w:rFonts w:hint="default" w:ascii="仿宋_GB2312" w:hAnsi="仿宋_GB2312" w:eastAsia="仿宋_GB2312" w:cs="仿宋_GB2312"/>
          <w:color w:val="000000"/>
          <w:spacing w:val="-6"/>
          <w:sz w:val="32"/>
          <w:szCs w:val="32"/>
          <w:lang w:val="en-US" w:eastAsia="zh-CN"/>
        </w:rPr>
        <w:t>非保护地范围内光伏组件采用移动式节能喷雾设施，清洗废水由场内植被吸收和自然蒸发。</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val="en-US" w:eastAsia="zh-CN"/>
        </w:rPr>
        <w:t>3.</w:t>
      </w:r>
      <w:r>
        <w:rPr>
          <w:rFonts w:hint="eastAsia" w:ascii="仿宋_GB2312" w:hAnsi="仿宋_GB2312" w:eastAsia="仿宋_GB2312" w:cs="仿宋_GB2312"/>
          <w:color w:val="000000"/>
          <w:spacing w:val="-6"/>
          <w:sz w:val="32"/>
          <w:szCs w:val="32"/>
        </w:rPr>
        <w:t>严格落实噪声污染防治措施</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sz w:val="32"/>
          <w:szCs w:val="32"/>
          <w:lang w:eastAsia="zh-CN"/>
        </w:rPr>
        <w:t>采取各项降噪措施，严格控制生产过程产生的噪声对周围环境的影响。光伏区箱式变压器选用低噪声类型设备</w:t>
      </w:r>
      <w:r>
        <w:rPr>
          <w:rFonts w:hint="default" w:ascii="仿宋_GB2312" w:hAnsi="仿宋_GB2312" w:eastAsia="仿宋_GB2312" w:cs="仿宋_GB2312"/>
          <w:color w:val="000000"/>
          <w:spacing w:val="-6"/>
          <w:sz w:val="32"/>
          <w:szCs w:val="32"/>
          <w:lang w:eastAsia="zh-CN"/>
        </w:rPr>
        <w:t>、均设</w:t>
      </w:r>
      <w:r>
        <w:rPr>
          <w:rFonts w:hint="default" w:ascii="仿宋_GB2312" w:hAnsi="仿宋_GB2312" w:eastAsia="仿宋_GB2312" w:cs="仿宋_GB2312"/>
          <w:spacing w:val="-6"/>
          <w:sz w:val="32"/>
          <w:szCs w:val="32"/>
          <w:lang w:eastAsia="zh-CN"/>
        </w:rPr>
        <w:t>置外壳隔声、底部基础安装减振垫；</w:t>
      </w:r>
      <w:r>
        <w:rPr>
          <w:rFonts w:hint="eastAsia" w:ascii="仿宋_GB2312" w:hAnsi="仿宋_GB2312" w:eastAsia="仿宋_GB2312" w:cs="仿宋_GB2312"/>
          <w:spacing w:val="-6"/>
          <w:sz w:val="32"/>
          <w:szCs w:val="32"/>
          <w:lang w:eastAsia="zh-CN"/>
        </w:rPr>
        <w:t>升压站采用低噪声设备、基础减振、厂房隔声等措施，项</w:t>
      </w:r>
      <w:r>
        <w:rPr>
          <w:rFonts w:hint="eastAsia" w:ascii="仿宋_GB2312" w:hAnsi="仿宋_GB2312" w:eastAsia="仿宋_GB2312" w:cs="仿宋_GB2312"/>
          <w:spacing w:val="-6"/>
          <w:sz w:val="32"/>
          <w:szCs w:val="32"/>
        </w:rPr>
        <w:t>目实施后</w:t>
      </w:r>
      <w:r>
        <w:rPr>
          <w:rFonts w:hint="eastAsia" w:ascii="仿宋_GB2312" w:hAnsi="仿宋_GB2312" w:eastAsia="仿宋_GB2312" w:cs="仿宋_GB2312"/>
          <w:spacing w:val="-6"/>
          <w:sz w:val="32"/>
          <w:szCs w:val="32"/>
          <w:lang w:eastAsia="zh-CN"/>
        </w:rPr>
        <w:t>边界噪声</w:t>
      </w:r>
      <w:r>
        <w:rPr>
          <w:rFonts w:hint="eastAsia" w:ascii="仿宋_GB2312" w:hAnsi="仿宋_GB2312" w:eastAsia="仿宋_GB2312" w:cs="仿宋_GB2312"/>
          <w:spacing w:val="-6"/>
          <w:sz w:val="32"/>
          <w:szCs w:val="32"/>
        </w:rPr>
        <w:t>须满足《工业企业厂界环境噪声排放标准》（GB12348-2008）</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类标准要求。</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16" w:firstLineChars="200"/>
        <w:textAlignment w:val="auto"/>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严格落实固体废物污染防治措施</w:t>
      </w:r>
    </w:p>
    <w:p>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default"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企业要严格落实固体废物分类处置和综合利用措施，认真落实《报告表》规定的固体废物处理、处置措施。按照“资源化、减量化、无害化”的固废处置原则，实现综合利用。项目产生的固体废物主要为废旧或故障太阳能电池组件、废磷酸铁锂电池、污水处理站污泥</w:t>
      </w:r>
      <w:r>
        <w:rPr>
          <w:rFonts w:hint="default" w:ascii="仿宋_GB2312" w:hAnsi="仿宋_GB2312" w:eastAsia="仿宋_GB2312" w:cs="仿宋_GB2312"/>
          <w:spacing w:val="-6"/>
          <w:sz w:val="32"/>
          <w:szCs w:val="32"/>
        </w:rPr>
        <w:t>、检修废油、事故油、废油抹布、光伏清洗抹布和生活垃圾。</w:t>
      </w:r>
    </w:p>
    <w:p>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default"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废旧或故障太阳能电池组件不在厂区贮存，</w:t>
      </w:r>
      <w:r>
        <w:rPr>
          <w:rFonts w:hint="eastAsia" w:ascii="仿宋_GB2312" w:hAnsi="仿宋_GB2312" w:eastAsia="仿宋_GB2312" w:cs="仿宋_GB2312"/>
          <w:spacing w:val="-6"/>
          <w:sz w:val="32"/>
          <w:szCs w:val="32"/>
        </w:rPr>
        <w:t>集中收集后处置</w:t>
      </w:r>
      <w:r>
        <w:rPr>
          <w:rFonts w:hint="default"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eastAsia="zh-CN"/>
        </w:rPr>
        <w:t>废磷酸铁锂电池收集后暂存在升压站内一般固废间内，及时由有资质单位处置</w:t>
      </w:r>
      <w:r>
        <w:rPr>
          <w:rFonts w:hint="default"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eastAsia="zh-CN"/>
        </w:rPr>
        <w:t>污水处理站污泥定期清掏，作为肥料</w:t>
      </w:r>
      <w:r>
        <w:rPr>
          <w:rFonts w:hint="default" w:ascii="仿宋_GB2312" w:hAnsi="仿宋_GB2312" w:eastAsia="仿宋_GB2312" w:cs="仿宋_GB2312"/>
          <w:spacing w:val="-6"/>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检修废油、事故油、废油抹布</w:t>
      </w:r>
      <w:r>
        <w:rPr>
          <w:rFonts w:hint="default" w:ascii="仿宋_GB2312" w:hAnsi="仿宋_GB2312" w:eastAsia="仿宋_GB2312" w:cs="仿宋_GB2312"/>
          <w:spacing w:val="-6"/>
          <w:sz w:val="32"/>
          <w:szCs w:val="32"/>
          <w:lang w:eastAsia="zh-CN"/>
        </w:rPr>
        <w:t>为危险废物，</w:t>
      </w:r>
      <w:r>
        <w:rPr>
          <w:rFonts w:hint="eastAsia" w:ascii="仿宋_GB2312" w:hAnsi="仿宋_GB2312" w:eastAsia="仿宋_GB2312" w:cs="仿宋_GB2312"/>
          <w:spacing w:val="-6"/>
          <w:sz w:val="32"/>
          <w:szCs w:val="32"/>
          <w:lang w:eastAsia="zh-CN"/>
        </w:rPr>
        <w:t>集中收集后暂存于危废间，定期交由有资质单位处置；光伏清洗抹布和生活垃圾由环卫部门统一处理。</w:t>
      </w:r>
    </w:p>
    <w:p>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项目产生的危险废物及危险废物暂存库须满足《危险废物贮存污染控制标准》(GB18597-20</w:t>
      </w:r>
      <w:r>
        <w:rPr>
          <w:rFonts w:hint="default" w:ascii="仿宋_GB2312" w:hAnsi="仿宋_GB2312" w:eastAsia="仿宋_GB2312" w:cs="仿宋_GB2312"/>
          <w:color w:val="auto"/>
          <w:spacing w:val="-6"/>
          <w:sz w:val="32"/>
          <w:szCs w:val="32"/>
        </w:rPr>
        <w:t>23</w:t>
      </w:r>
      <w:r>
        <w:rPr>
          <w:rFonts w:hint="eastAsia" w:ascii="仿宋_GB2312" w:hAnsi="仿宋_GB2312" w:eastAsia="仿宋_GB2312" w:cs="仿宋_GB2312"/>
          <w:color w:val="auto"/>
          <w:spacing w:val="-6"/>
          <w:sz w:val="32"/>
          <w:szCs w:val="32"/>
        </w:rPr>
        <w:t>)要求。</w:t>
      </w:r>
    </w:p>
    <w:p>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4.本次评价内容和批复不包括辐射部分及场外出线线路。</w:t>
      </w:r>
    </w:p>
    <w:p>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认真落实《报告表》其他环境管理要求。</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hAnsi="仿宋_GB2312" w:eastAsia="仿宋_GB2312" w:cs="仿宋_GB2312"/>
          <w:color w:val="000000"/>
          <w:kern w:val="0"/>
          <w:sz w:val="32"/>
          <w:szCs w:val="32"/>
        </w:rPr>
        <w:t>。加强风险源管控，严格落实《报告表》中环境风险防范措施，</w:t>
      </w:r>
      <w:r>
        <w:rPr>
          <w:rFonts w:hint="default" w:ascii="仿宋_GB2312" w:hAnsi="仿宋_GB2312" w:eastAsia="仿宋_GB2312" w:cs="仿宋_GB2312"/>
          <w:color w:val="000000"/>
          <w:kern w:val="0"/>
          <w:sz w:val="32"/>
          <w:szCs w:val="32"/>
        </w:rPr>
        <w:t>办理</w:t>
      </w:r>
      <w:r>
        <w:rPr>
          <w:rFonts w:hint="eastAsia" w:ascii="仿宋_GB2312" w:hAnsi="仿宋_GB2312" w:eastAsia="仿宋_GB2312" w:cs="仿宋_GB2312"/>
          <w:color w:val="000000"/>
          <w:kern w:val="0"/>
          <w:sz w:val="32"/>
          <w:szCs w:val="32"/>
        </w:rPr>
        <w:t>突发环境事件应急</w:t>
      </w:r>
      <w:r>
        <w:rPr>
          <w:rFonts w:hint="default" w:ascii="仿宋_GB2312" w:hAnsi="仿宋_GB2312" w:eastAsia="仿宋_GB2312" w:cs="仿宋_GB2312"/>
          <w:color w:val="000000"/>
          <w:kern w:val="0"/>
          <w:sz w:val="32"/>
          <w:szCs w:val="32"/>
        </w:rPr>
        <w:t>相关手续</w:t>
      </w:r>
      <w:r>
        <w:rPr>
          <w:rFonts w:hint="eastAsia" w:ascii="仿宋_GB2312" w:hAnsi="仿宋_GB2312" w:eastAsia="仿宋_GB2312" w:cs="仿宋_GB2312"/>
          <w:color w:val="000000"/>
          <w:kern w:val="0"/>
          <w:sz w:val="32"/>
          <w:szCs w:val="32"/>
        </w:rPr>
        <w:t>，并与当地政府及相关部门做好衔接，定期进行应急培训和</w:t>
      </w:r>
      <w:r>
        <w:rPr>
          <w:rFonts w:hint="eastAsia" w:ascii="仿宋_GB2312" w:hAnsi="仿宋_GB2312" w:eastAsia="仿宋_GB2312" w:cs="仿宋_GB2312"/>
          <w:spacing w:val="-6"/>
          <w:sz w:val="32"/>
          <w:szCs w:val="32"/>
        </w:rPr>
        <w:t>演练，有效防范和应对环境风险。</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认真落实《报告表》中规定的污染防治措施及清洁生产措施</w:t>
      </w:r>
      <w:r>
        <w:rPr>
          <w:rFonts w:hint="eastAsia" w:ascii="仿宋_GB2312" w:hAnsi="仿宋_GB2312" w:eastAsia="仿宋_GB2312" w:cs="仿宋_GB2312"/>
          <w:color w:val="000000"/>
          <w:kern w:val="0"/>
          <w:sz w:val="32"/>
          <w:szCs w:val="32"/>
          <w:lang w:eastAsia="zh-CN"/>
        </w:rPr>
        <w:t>，并完善排污许可的衔接工作</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default" w:ascii="仿宋_GB2312" w:eastAsia="仿宋_GB2312" w:cs="仿宋_GB2312"/>
          <w:sz w:val="32"/>
          <w:szCs w:val="32"/>
        </w:rPr>
      </w:pPr>
      <w:r>
        <w:rPr>
          <w:rFonts w:hint="eastAsia" w:ascii="仿宋_GB2312" w:hAnsi="仿宋_GB2312" w:eastAsia="仿宋_GB2312" w:cs="仿宋_GB2312"/>
          <w:spacing w:val="-6"/>
          <w:sz w:val="32"/>
          <w:szCs w:val="32"/>
        </w:rPr>
        <w:t>六、</w:t>
      </w:r>
      <w:r>
        <w:rPr>
          <w:rFonts w:hint="default" w:ascii="仿宋_GB2312" w:eastAsia="仿宋_GB2312" w:cs="仿宋_GB2312"/>
          <w:sz w:val="32"/>
          <w:szCs w:val="32"/>
        </w:rPr>
        <w:t>本批复生效之日起，《关于秦皇岛盛通光伏发电有限公司100MW市场化并网平价光伏项目环境影响报告表的批复》（秦审批环准许〔2023〕02-0017号）废止。</w:t>
      </w:r>
    </w:p>
    <w:p>
      <w:pPr>
        <w:keepNext w:val="0"/>
        <w:keepLines w:val="0"/>
        <w:pageBreakBefore w:val="0"/>
        <w:widowControl/>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七</w:t>
      </w:r>
      <w:r>
        <w:rPr>
          <w:rFonts w:hint="eastAsia" w:ascii="仿宋_GB2312" w:hAnsi="仿宋_GB2312" w:eastAsia="仿宋_GB2312" w:cs="仿宋_GB2312"/>
          <w:spacing w:val="-6"/>
          <w:sz w:val="32"/>
          <w:szCs w:val="32"/>
        </w:rPr>
        <w:t>、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工程自批复之日起五年后方决定开工建设的，需将环评文件报我局重新审核。</w:t>
      </w:r>
    </w:p>
    <w:p>
      <w:pPr>
        <w:keepNext w:val="0"/>
        <w:keepLines w:val="0"/>
        <w:pageBreakBefore w:val="0"/>
        <w:widowControl/>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default" w:ascii="仿宋_GB2312" w:hAnsi="仿宋_GB2312" w:eastAsia="仿宋_GB2312" w:cs="仿宋_GB2312"/>
          <w:spacing w:val="-6"/>
          <w:sz w:val="32"/>
          <w:szCs w:val="32"/>
          <w:lang w:eastAsia="zh-CN"/>
        </w:rPr>
        <w:t>八</w:t>
      </w:r>
      <w:r>
        <w:rPr>
          <w:rFonts w:hint="eastAsia" w:ascii="仿宋_GB2312" w:hAnsi="仿宋_GB2312" w:eastAsia="仿宋_GB2312" w:cs="仿宋_GB2312"/>
          <w:spacing w:val="-6"/>
          <w:sz w:val="32"/>
          <w:szCs w:val="32"/>
        </w:rPr>
        <w:t>、你单位在接到本批复后的10个工作日内，须将环评报告表及其批复送秦皇岛市生态环境局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、资规局等相关部门，日常监督管理由秦皇岛市生态环境局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负责。建设单位须定期向秦皇岛市生态环境局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 xml:space="preserve">报告“三同时”完成情况。并按规定接受各级生态环境行政主管部门的日常监督检查。 </w:t>
      </w: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pPr>
        <w:pStyle w:val="11"/>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4800" w:firstLineChars="1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秦皇岛市行政审批局</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5120" w:firstLineChars="1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eastAsia="zh-CN"/>
        </w:rPr>
        <w:t>9</w:t>
      </w:r>
      <w:bookmarkStart w:id="0" w:name="_GoBack"/>
      <w:bookmarkEnd w:id="0"/>
      <w:r>
        <w:rPr>
          <w:rFonts w:hint="eastAsia" w:ascii="仿宋_GB2312" w:hAnsi="仿宋_GB2312" w:eastAsia="仿宋_GB2312" w:cs="仿宋_GB2312"/>
          <w:color w:val="auto"/>
          <w:sz w:val="32"/>
          <w:szCs w:val="32"/>
        </w:rPr>
        <w:t>日</w:t>
      </w:r>
    </w:p>
    <w:p>
      <w:pPr>
        <w:pStyle w:val="2"/>
        <w:keepNext w:val="0"/>
        <w:keepLines w:val="0"/>
        <w:pageBreakBefore w:val="0"/>
        <w:kinsoku/>
        <w:wordWrap/>
        <w:overflowPunct/>
        <w:topLinePunct w:val="0"/>
        <w:autoSpaceDE/>
        <w:autoSpaceDN/>
        <w:bidi w:val="0"/>
        <w:snapToGrid w:val="0"/>
        <w:spacing w:line="560" w:lineRule="exact"/>
        <w:textAlignment w:val="auto"/>
        <w:rPr>
          <w:rFonts w:hint="eastAsia"/>
        </w:rPr>
      </w:pP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mQwOTA5MjNiMmY2NmFkOWRlNzVkYWJkNmRmOTEifQ=="/>
  </w:docVars>
  <w:rsids>
    <w:rsidRoot w:val="00534647"/>
    <w:rsid w:val="001D5FB4"/>
    <w:rsid w:val="00534647"/>
    <w:rsid w:val="007E0A00"/>
    <w:rsid w:val="00FF0D8C"/>
    <w:rsid w:val="01C57888"/>
    <w:rsid w:val="02210711"/>
    <w:rsid w:val="026C13BF"/>
    <w:rsid w:val="047D0429"/>
    <w:rsid w:val="0480239D"/>
    <w:rsid w:val="049F51EA"/>
    <w:rsid w:val="05070CB7"/>
    <w:rsid w:val="05F4418C"/>
    <w:rsid w:val="06D73640"/>
    <w:rsid w:val="06FD7EA5"/>
    <w:rsid w:val="08251D3B"/>
    <w:rsid w:val="086152EC"/>
    <w:rsid w:val="09A74B9B"/>
    <w:rsid w:val="09DD006C"/>
    <w:rsid w:val="09EA14FD"/>
    <w:rsid w:val="0A7C0FBB"/>
    <w:rsid w:val="0BB50AF3"/>
    <w:rsid w:val="0C240EFB"/>
    <w:rsid w:val="0DB60FD4"/>
    <w:rsid w:val="0E23319F"/>
    <w:rsid w:val="0E236322"/>
    <w:rsid w:val="0E423DBB"/>
    <w:rsid w:val="0E52277A"/>
    <w:rsid w:val="0E544884"/>
    <w:rsid w:val="0E9A6529"/>
    <w:rsid w:val="0EF16B1E"/>
    <w:rsid w:val="0F243ABA"/>
    <w:rsid w:val="0F4E7F38"/>
    <w:rsid w:val="0FD75461"/>
    <w:rsid w:val="106B3C9B"/>
    <w:rsid w:val="11047D69"/>
    <w:rsid w:val="116A6B7F"/>
    <w:rsid w:val="11B64EE8"/>
    <w:rsid w:val="11DF3773"/>
    <w:rsid w:val="12704D3D"/>
    <w:rsid w:val="12B56FA8"/>
    <w:rsid w:val="134F78C3"/>
    <w:rsid w:val="15DB1E4F"/>
    <w:rsid w:val="16B259FD"/>
    <w:rsid w:val="16FE7E29"/>
    <w:rsid w:val="177C13BA"/>
    <w:rsid w:val="17B00A83"/>
    <w:rsid w:val="18EDE22F"/>
    <w:rsid w:val="19807918"/>
    <w:rsid w:val="19C76AA2"/>
    <w:rsid w:val="19F20F5A"/>
    <w:rsid w:val="1A34036B"/>
    <w:rsid w:val="1ABB2361"/>
    <w:rsid w:val="1BE5119A"/>
    <w:rsid w:val="1C25666F"/>
    <w:rsid w:val="1C596756"/>
    <w:rsid w:val="1CFA41E4"/>
    <w:rsid w:val="1DB05E93"/>
    <w:rsid w:val="1DE2526D"/>
    <w:rsid w:val="1E0457D8"/>
    <w:rsid w:val="1E293B80"/>
    <w:rsid w:val="1EE917E9"/>
    <w:rsid w:val="1F9A3113"/>
    <w:rsid w:val="1F9E66CC"/>
    <w:rsid w:val="1FB32933"/>
    <w:rsid w:val="1FFD7A61"/>
    <w:rsid w:val="20C7671F"/>
    <w:rsid w:val="211E5769"/>
    <w:rsid w:val="212033CF"/>
    <w:rsid w:val="213E1E2E"/>
    <w:rsid w:val="21487774"/>
    <w:rsid w:val="220B1CB9"/>
    <w:rsid w:val="22186EB3"/>
    <w:rsid w:val="22712A2C"/>
    <w:rsid w:val="22E21C51"/>
    <w:rsid w:val="23165497"/>
    <w:rsid w:val="23637A73"/>
    <w:rsid w:val="23E0603F"/>
    <w:rsid w:val="24333E8B"/>
    <w:rsid w:val="24496731"/>
    <w:rsid w:val="24822F7E"/>
    <w:rsid w:val="249C52E5"/>
    <w:rsid w:val="24E07A09"/>
    <w:rsid w:val="253245CF"/>
    <w:rsid w:val="25481967"/>
    <w:rsid w:val="25913DA1"/>
    <w:rsid w:val="26372BA9"/>
    <w:rsid w:val="26452102"/>
    <w:rsid w:val="268C5900"/>
    <w:rsid w:val="26D3084E"/>
    <w:rsid w:val="26D853C8"/>
    <w:rsid w:val="2768760E"/>
    <w:rsid w:val="278D5603"/>
    <w:rsid w:val="28423EC0"/>
    <w:rsid w:val="290C1FD9"/>
    <w:rsid w:val="2A6A527B"/>
    <w:rsid w:val="2A6E5785"/>
    <w:rsid w:val="2B35714B"/>
    <w:rsid w:val="2B651583"/>
    <w:rsid w:val="2B8255E2"/>
    <w:rsid w:val="2BA73E61"/>
    <w:rsid w:val="2C4F4AAD"/>
    <w:rsid w:val="2C9A2F9D"/>
    <w:rsid w:val="2CDB74AF"/>
    <w:rsid w:val="2CEC5C32"/>
    <w:rsid w:val="2CED5224"/>
    <w:rsid w:val="2DAE127D"/>
    <w:rsid w:val="2DAF126F"/>
    <w:rsid w:val="2E290EE4"/>
    <w:rsid w:val="2E7C66DE"/>
    <w:rsid w:val="31061FC9"/>
    <w:rsid w:val="313D44EF"/>
    <w:rsid w:val="317A4765"/>
    <w:rsid w:val="31A86955"/>
    <w:rsid w:val="31AF3D3F"/>
    <w:rsid w:val="328D0DB0"/>
    <w:rsid w:val="33135D31"/>
    <w:rsid w:val="335C6818"/>
    <w:rsid w:val="336EA4DC"/>
    <w:rsid w:val="33824DF5"/>
    <w:rsid w:val="34185F28"/>
    <w:rsid w:val="344158C2"/>
    <w:rsid w:val="347C50C9"/>
    <w:rsid w:val="35D70A87"/>
    <w:rsid w:val="374D153F"/>
    <w:rsid w:val="38ED4A8D"/>
    <w:rsid w:val="39D74A49"/>
    <w:rsid w:val="3A0831CA"/>
    <w:rsid w:val="3A5A3B4E"/>
    <w:rsid w:val="3A776BF6"/>
    <w:rsid w:val="3B9B5529"/>
    <w:rsid w:val="3BF2360E"/>
    <w:rsid w:val="3BFF7C85"/>
    <w:rsid w:val="3C100C19"/>
    <w:rsid w:val="3C37264C"/>
    <w:rsid w:val="3C624B38"/>
    <w:rsid w:val="3C8DE232"/>
    <w:rsid w:val="3CBD30B1"/>
    <w:rsid w:val="3CD04F1E"/>
    <w:rsid w:val="3D412847"/>
    <w:rsid w:val="3D4E0F7F"/>
    <w:rsid w:val="3D620756"/>
    <w:rsid w:val="3D715C36"/>
    <w:rsid w:val="3DEB59B9"/>
    <w:rsid w:val="3EDA434E"/>
    <w:rsid w:val="3F43263A"/>
    <w:rsid w:val="3F7FC6D0"/>
    <w:rsid w:val="402537B3"/>
    <w:rsid w:val="40E5668D"/>
    <w:rsid w:val="413B7A6D"/>
    <w:rsid w:val="414D77A0"/>
    <w:rsid w:val="415E6EB8"/>
    <w:rsid w:val="433C187A"/>
    <w:rsid w:val="441F65D2"/>
    <w:rsid w:val="45ED32A4"/>
    <w:rsid w:val="462F55E2"/>
    <w:rsid w:val="46F770C6"/>
    <w:rsid w:val="47887BA9"/>
    <w:rsid w:val="47AC3472"/>
    <w:rsid w:val="48750F2D"/>
    <w:rsid w:val="48A305D9"/>
    <w:rsid w:val="495443BF"/>
    <w:rsid w:val="4961192A"/>
    <w:rsid w:val="4A9B0782"/>
    <w:rsid w:val="4AB62107"/>
    <w:rsid w:val="4B4355E5"/>
    <w:rsid w:val="4B514EDA"/>
    <w:rsid w:val="4B765E80"/>
    <w:rsid w:val="4C767AF2"/>
    <w:rsid w:val="4C8229F4"/>
    <w:rsid w:val="4D010EEB"/>
    <w:rsid w:val="4D9C5D37"/>
    <w:rsid w:val="4E09095C"/>
    <w:rsid w:val="4E1B2C42"/>
    <w:rsid w:val="4F4A365C"/>
    <w:rsid w:val="4F5925A3"/>
    <w:rsid w:val="4FC43655"/>
    <w:rsid w:val="4FD729F9"/>
    <w:rsid w:val="50F74CAC"/>
    <w:rsid w:val="51F46A5E"/>
    <w:rsid w:val="52500E9E"/>
    <w:rsid w:val="526B33B4"/>
    <w:rsid w:val="52E60454"/>
    <w:rsid w:val="52F277D3"/>
    <w:rsid w:val="53183CF5"/>
    <w:rsid w:val="53650405"/>
    <w:rsid w:val="53AF2EA6"/>
    <w:rsid w:val="53CE4449"/>
    <w:rsid w:val="55111814"/>
    <w:rsid w:val="559B2D78"/>
    <w:rsid w:val="55C8399D"/>
    <w:rsid w:val="55D31502"/>
    <w:rsid w:val="5612099E"/>
    <w:rsid w:val="56950707"/>
    <w:rsid w:val="56AED9A3"/>
    <w:rsid w:val="57DA211C"/>
    <w:rsid w:val="58040325"/>
    <w:rsid w:val="5883776F"/>
    <w:rsid w:val="5886351F"/>
    <w:rsid w:val="58DC437F"/>
    <w:rsid w:val="590E0E11"/>
    <w:rsid w:val="59273AEF"/>
    <w:rsid w:val="596D0588"/>
    <w:rsid w:val="59B7197C"/>
    <w:rsid w:val="5A22466C"/>
    <w:rsid w:val="5A2F46B5"/>
    <w:rsid w:val="5A726CD4"/>
    <w:rsid w:val="5A9C6788"/>
    <w:rsid w:val="5AE9060E"/>
    <w:rsid w:val="5B314F17"/>
    <w:rsid w:val="5BFA3674"/>
    <w:rsid w:val="5BFDE05C"/>
    <w:rsid w:val="5C0156FC"/>
    <w:rsid w:val="5C8F0F84"/>
    <w:rsid w:val="5CB5141E"/>
    <w:rsid w:val="5DD15318"/>
    <w:rsid w:val="5EBB44B3"/>
    <w:rsid w:val="5EE4D61D"/>
    <w:rsid w:val="5F5FC2DB"/>
    <w:rsid w:val="5F877DE6"/>
    <w:rsid w:val="5FA728A7"/>
    <w:rsid w:val="5FE9456F"/>
    <w:rsid w:val="60200102"/>
    <w:rsid w:val="60DB398B"/>
    <w:rsid w:val="6155202D"/>
    <w:rsid w:val="616B4469"/>
    <w:rsid w:val="62242690"/>
    <w:rsid w:val="623213C3"/>
    <w:rsid w:val="62595DE7"/>
    <w:rsid w:val="62AA67D1"/>
    <w:rsid w:val="62B4457F"/>
    <w:rsid w:val="62F12229"/>
    <w:rsid w:val="63FC4707"/>
    <w:rsid w:val="65A5045A"/>
    <w:rsid w:val="66892A14"/>
    <w:rsid w:val="66A76F78"/>
    <w:rsid w:val="66FF055D"/>
    <w:rsid w:val="67112E9A"/>
    <w:rsid w:val="677FA05D"/>
    <w:rsid w:val="67D84A3A"/>
    <w:rsid w:val="687D0E8F"/>
    <w:rsid w:val="69513F33"/>
    <w:rsid w:val="695609FE"/>
    <w:rsid w:val="6A0018D3"/>
    <w:rsid w:val="6A3A1E22"/>
    <w:rsid w:val="6AFBE2FD"/>
    <w:rsid w:val="6B1336CA"/>
    <w:rsid w:val="6BF6F70B"/>
    <w:rsid w:val="6C4F3886"/>
    <w:rsid w:val="6C57E606"/>
    <w:rsid w:val="6D953FD0"/>
    <w:rsid w:val="6DBD50C2"/>
    <w:rsid w:val="6DEFBE8D"/>
    <w:rsid w:val="6E516CE2"/>
    <w:rsid w:val="6E972B5D"/>
    <w:rsid w:val="6FA92E43"/>
    <w:rsid w:val="6FDFB749"/>
    <w:rsid w:val="6FFA6EFF"/>
    <w:rsid w:val="6FFF02D3"/>
    <w:rsid w:val="6FFFD07D"/>
    <w:rsid w:val="701336AB"/>
    <w:rsid w:val="730F4AE2"/>
    <w:rsid w:val="73426669"/>
    <w:rsid w:val="736875DA"/>
    <w:rsid w:val="736E6677"/>
    <w:rsid w:val="738B4EA6"/>
    <w:rsid w:val="73F5133C"/>
    <w:rsid w:val="74AD223F"/>
    <w:rsid w:val="767F4FE6"/>
    <w:rsid w:val="76C21ABB"/>
    <w:rsid w:val="76C4DCB4"/>
    <w:rsid w:val="76E75AA9"/>
    <w:rsid w:val="77763D74"/>
    <w:rsid w:val="779E4CF7"/>
    <w:rsid w:val="77BE192B"/>
    <w:rsid w:val="77FEA771"/>
    <w:rsid w:val="77FF68A8"/>
    <w:rsid w:val="77FFCAF9"/>
    <w:rsid w:val="78D120BF"/>
    <w:rsid w:val="793F363C"/>
    <w:rsid w:val="79FE1F3B"/>
    <w:rsid w:val="7A4C55E3"/>
    <w:rsid w:val="7A53410C"/>
    <w:rsid w:val="7A577472"/>
    <w:rsid w:val="7A9279F6"/>
    <w:rsid w:val="7ADD4C29"/>
    <w:rsid w:val="7AFE2822"/>
    <w:rsid w:val="7B7C2B32"/>
    <w:rsid w:val="7BAF5786"/>
    <w:rsid w:val="7BEE3D32"/>
    <w:rsid w:val="7CA76A30"/>
    <w:rsid w:val="7CBF2C38"/>
    <w:rsid w:val="7CC318D0"/>
    <w:rsid w:val="7D5F4119"/>
    <w:rsid w:val="7D8459A1"/>
    <w:rsid w:val="7DDF0D63"/>
    <w:rsid w:val="7E3C65F7"/>
    <w:rsid w:val="7E53808C"/>
    <w:rsid w:val="7E873A5B"/>
    <w:rsid w:val="7EA7853F"/>
    <w:rsid w:val="7EDB1951"/>
    <w:rsid w:val="7EE9F22B"/>
    <w:rsid w:val="7EFF68B1"/>
    <w:rsid w:val="7F24010D"/>
    <w:rsid w:val="7F294417"/>
    <w:rsid w:val="7F3D240F"/>
    <w:rsid w:val="7F7E550E"/>
    <w:rsid w:val="7FB1C417"/>
    <w:rsid w:val="7FF7817D"/>
    <w:rsid w:val="7FFD5D18"/>
    <w:rsid w:val="7FFD93AA"/>
    <w:rsid w:val="7FFE63C7"/>
    <w:rsid w:val="93DE4D53"/>
    <w:rsid w:val="97EF0570"/>
    <w:rsid w:val="9EBE6894"/>
    <w:rsid w:val="A7FE46DD"/>
    <w:rsid w:val="AB574649"/>
    <w:rsid w:val="B1BFA1F6"/>
    <w:rsid w:val="B2FF2882"/>
    <w:rsid w:val="B71EE1DE"/>
    <w:rsid w:val="BADF173F"/>
    <w:rsid w:val="BC7F42EB"/>
    <w:rsid w:val="BE1DD3DB"/>
    <w:rsid w:val="BFF3702B"/>
    <w:rsid w:val="BFF6C44B"/>
    <w:rsid w:val="BFFBE771"/>
    <w:rsid w:val="BFFFFC04"/>
    <w:rsid w:val="C87D361C"/>
    <w:rsid w:val="D57FEA81"/>
    <w:rsid w:val="D97C0045"/>
    <w:rsid w:val="DAED3199"/>
    <w:rsid w:val="DAFD0D04"/>
    <w:rsid w:val="DBE5F7EA"/>
    <w:rsid w:val="DDED9019"/>
    <w:rsid w:val="DDEF3D90"/>
    <w:rsid w:val="DF9F197B"/>
    <w:rsid w:val="DFC5B22E"/>
    <w:rsid w:val="DFDBDF0B"/>
    <w:rsid w:val="DFDF21B5"/>
    <w:rsid w:val="DFEDBDD6"/>
    <w:rsid w:val="EBABD82E"/>
    <w:rsid w:val="EBBA1790"/>
    <w:rsid w:val="EFFF7259"/>
    <w:rsid w:val="F175C4DB"/>
    <w:rsid w:val="F3BFF1AD"/>
    <w:rsid w:val="F6FFB567"/>
    <w:rsid w:val="F77E3BE2"/>
    <w:rsid w:val="F7A95DB0"/>
    <w:rsid w:val="F7AF9FCD"/>
    <w:rsid w:val="F7B3205D"/>
    <w:rsid w:val="F977B894"/>
    <w:rsid w:val="FBEFD815"/>
    <w:rsid w:val="FCBFABA4"/>
    <w:rsid w:val="FCFE9610"/>
    <w:rsid w:val="FDAB0972"/>
    <w:rsid w:val="FDDF33E9"/>
    <w:rsid w:val="FDEB7BD9"/>
    <w:rsid w:val="FE971EC6"/>
    <w:rsid w:val="FEBF7CC7"/>
    <w:rsid w:val="FEBFBB84"/>
    <w:rsid w:val="FF7E06D1"/>
    <w:rsid w:val="FFFBB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6">
    <w:name w:val="heading 4"/>
    <w:basedOn w:val="1"/>
    <w:next w:val="1"/>
    <w:qFormat/>
    <w:uiPriority w:val="0"/>
    <w:pPr>
      <w:keepNext/>
      <w:keepLines/>
      <w:spacing w:line="500" w:lineRule="exact"/>
      <w:outlineLvl w:val="3"/>
    </w:pPr>
    <w:rPr>
      <w:rFonts w:ascii="Arial" w:hAnsi="Arial" w:cs="宋体"/>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napToGrid w:val="0"/>
      <w:spacing w:line="360" w:lineRule="auto"/>
    </w:pPr>
    <w:rPr>
      <w:sz w:val="24"/>
    </w:rPr>
  </w:style>
  <w:style w:type="paragraph" w:styleId="3">
    <w:name w:val="Body Text"/>
    <w:basedOn w:val="1"/>
    <w:next w:val="4"/>
    <w:qFormat/>
    <w:uiPriority w:val="0"/>
    <w:pPr>
      <w:spacing w:line="240" w:lineRule="atLeast"/>
    </w:pPr>
    <w:rPr>
      <w:sz w:val="28"/>
    </w:rPr>
  </w:style>
  <w:style w:type="paragraph" w:customStyle="1" w:styleId="4">
    <w:name w:val="xl27"/>
    <w:basedOn w:val="1"/>
    <w:qFormat/>
    <w:uiPriority w:val="0"/>
    <w:pPr>
      <w:widowControl/>
      <w:pBdr>
        <w:bottom w:val="single" w:color="auto" w:sz="12" w:space="0"/>
      </w:pBdr>
      <w:spacing w:before="100" w:after="100"/>
      <w:jc w:val="center"/>
    </w:pPr>
    <w:rPr>
      <w:rFonts w:ascii="宋体"/>
      <w:kern w:val="0"/>
      <w:szCs w:val="20"/>
    </w:rPr>
  </w:style>
  <w:style w:type="paragraph" w:styleId="7">
    <w:name w:val="caption"/>
    <w:basedOn w:val="1"/>
    <w:next w:val="1"/>
    <w:qFormat/>
    <w:uiPriority w:val="35"/>
    <w:pPr>
      <w:ind w:firstLine="0" w:firstLineChars="0"/>
      <w:jc w:val="center"/>
    </w:pPr>
    <w:rPr>
      <w:rFonts w:ascii="Times New Roman" w:hAnsi="Times New Roman" w:eastAsia="宋体" w:cs="Times New Roman"/>
      <w:b/>
      <w:szCs w:val="20"/>
    </w:rPr>
  </w:style>
  <w:style w:type="paragraph" w:styleId="8">
    <w:name w:val="Body Text Indent"/>
    <w:basedOn w:val="1"/>
    <w:next w:val="7"/>
    <w:unhideWhenUsed/>
    <w:qFormat/>
    <w:uiPriority w:val="0"/>
    <w:pPr>
      <w:spacing w:after="120"/>
      <w:ind w:left="420" w:leftChars="200"/>
    </w:p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qFormat/>
    <w:uiPriority w:val="0"/>
    <w:pPr>
      <w:adjustRightInd w:val="0"/>
      <w:snapToGrid w:val="0"/>
      <w:spacing w:line="280" w:lineRule="exact"/>
      <w:jc w:val="center"/>
    </w:pPr>
    <w:rPr>
      <w:sz w:val="24"/>
      <w:szCs w:val="20"/>
    </w:rPr>
  </w:style>
  <w:style w:type="paragraph" w:styleId="12">
    <w:name w:val="Body Text First Indent"/>
    <w:basedOn w:val="3"/>
    <w:qFormat/>
    <w:uiPriority w:val="0"/>
    <w:pPr>
      <w:spacing w:after="120"/>
      <w:ind w:firstLine="420" w:firstLineChars="100"/>
    </w:pPr>
    <w:rPr>
      <w:sz w:val="21"/>
      <w:szCs w:val="24"/>
    </w:rPr>
  </w:style>
  <w:style w:type="character" w:styleId="15">
    <w:name w:val="FollowedHyperlink"/>
    <w:basedOn w:val="14"/>
    <w:semiHidden/>
    <w:unhideWhenUsed/>
    <w:qFormat/>
    <w:uiPriority w:val="99"/>
    <w:rPr>
      <w:color w:val="000000"/>
      <w:u w:val="none"/>
    </w:rPr>
  </w:style>
  <w:style w:type="character" w:styleId="16">
    <w:name w:val="Emphasis"/>
    <w:basedOn w:val="14"/>
    <w:qFormat/>
    <w:uiPriority w:val="20"/>
  </w:style>
  <w:style w:type="character" w:styleId="17">
    <w:name w:val="Hyperlink"/>
    <w:basedOn w:val="14"/>
    <w:semiHidden/>
    <w:unhideWhenUsed/>
    <w:qFormat/>
    <w:uiPriority w:val="99"/>
    <w:rPr>
      <w:color w:val="000000"/>
      <w:u w:val="none"/>
    </w:rPr>
  </w:style>
  <w:style w:type="paragraph" w:customStyle="1" w:styleId="18">
    <w:name w:val="默认段落"/>
    <w:qFormat/>
    <w:uiPriority w:val="0"/>
    <w:pPr>
      <w:widowControl w:val="0"/>
      <w:jc w:val="both"/>
    </w:pPr>
    <w:rPr>
      <w:rFonts w:ascii="Calibri" w:hAnsi="Calibri" w:eastAsia="宋体" w:cs="Times New Roman"/>
      <w:kern w:val="2"/>
      <w:sz w:val="21"/>
      <w:lang w:val="en-US" w:eastAsia="zh-CN" w:bidi="ar-SA"/>
    </w:rPr>
  </w:style>
  <w:style w:type="paragraph" w:customStyle="1" w:styleId="19">
    <w:name w:val="Default"/>
    <w:basedOn w:val="20"/>
    <w:qFormat/>
    <w:uiPriority w:val="0"/>
    <w:pPr>
      <w:widowControl w:val="0"/>
      <w:autoSpaceDE w:val="0"/>
      <w:autoSpaceDN w:val="0"/>
      <w:adjustRightInd w:val="0"/>
    </w:pPr>
    <w:rPr>
      <w:color w:val="000000"/>
      <w:sz w:val="24"/>
      <w:szCs w:val="24"/>
      <w:lang w:val="en-US" w:eastAsia="zh-CN" w:bidi="ar-SA"/>
    </w:rPr>
  </w:style>
  <w:style w:type="paragraph" w:customStyle="1" w:styleId="2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21">
    <w:name w:val="NormalCharacter"/>
    <w:qFormat/>
    <w:uiPriority w:val="0"/>
    <w:rPr>
      <w:rFonts w:ascii="Times New Roman" w:hAnsi="Times New Roman" w:eastAsia="宋体"/>
    </w:rPr>
  </w:style>
  <w:style w:type="character" w:customStyle="1" w:styleId="22">
    <w:name w:val="cur1"/>
    <w:basedOn w:val="14"/>
    <w:qFormat/>
    <w:uiPriority w:val="0"/>
    <w:rPr>
      <w:color w:val="FFFFFF"/>
      <w:shd w:val="clear" w:fill="2F6B98"/>
    </w:rPr>
  </w:style>
  <w:style w:type="character" w:customStyle="1" w:styleId="23">
    <w:name w:val="znspantitle"/>
    <w:basedOn w:val="14"/>
    <w:qFormat/>
    <w:uiPriority w:val="0"/>
    <w:rPr>
      <w:b/>
      <w:bCs/>
      <w:color w:val="333333"/>
    </w:rPr>
  </w:style>
  <w:style w:type="character" w:customStyle="1" w:styleId="24">
    <w:name w:val="lable"/>
    <w:basedOn w:val="14"/>
    <w:qFormat/>
    <w:uiPriority w:val="0"/>
    <w:rPr>
      <w:sz w:val="24"/>
      <w:szCs w:val="24"/>
    </w:rPr>
  </w:style>
  <w:style w:type="character" w:customStyle="1" w:styleId="25">
    <w:name w:val="lishishuju"/>
    <w:basedOn w:val="14"/>
    <w:qFormat/>
    <w:uiPriority w:val="0"/>
    <w:rPr>
      <w:b/>
      <w:bCs/>
      <w:color w:val="000052"/>
      <w:sz w:val="24"/>
      <w:szCs w:val="24"/>
      <w:bdr w:val="single" w:color="E3E3E3" w:sz="6" w:space="0"/>
    </w:rPr>
  </w:style>
  <w:style w:type="character" w:customStyle="1" w:styleId="26">
    <w:name w:val="radio-btn"/>
    <w:basedOn w:val="14"/>
    <w:qFormat/>
    <w:uiPriority w:val="0"/>
    <w:rPr>
      <w:sz w:val="24"/>
      <w:szCs w:val="24"/>
    </w:rPr>
  </w:style>
  <w:style w:type="character" w:customStyle="1" w:styleId="27">
    <w:name w:val="radio-btn1"/>
    <w:basedOn w:val="14"/>
    <w:qFormat/>
    <w:uiPriority w:val="0"/>
    <w:rPr>
      <w:sz w:val="24"/>
      <w:szCs w:val="24"/>
    </w:rPr>
  </w:style>
  <w:style w:type="character" w:customStyle="1" w:styleId="28">
    <w:name w:val="radio-btn2"/>
    <w:basedOn w:val="14"/>
    <w:qFormat/>
    <w:uiPriority w:val="0"/>
    <w:rPr>
      <w:sz w:val="24"/>
      <w:szCs w:val="24"/>
    </w:rPr>
  </w:style>
  <w:style w:type="paragraph" w:customStyle="1" w:styleId="29">
    <w:name w:val="样式 样式 样式 四号 左侧:  1.53 厘米 + 首行缩进:  2 字符 + 居中 左侧:  2 字符 首行缩进:  2..."/>
    <w:basedOn w:val="30"/>
    <w:qFormat/>
    <w:uiPriority w:val="0"/>
    <w:pPr>
      <w:jc w:val="center"/>
    </w:pPr>
  </w:style>
  <w:style w:type="paragraph" w:customStyle="1" w:styleId="30">
    <w:name w:val="样式 样式 四号 左侧:  1.53 厘米 + 首行缩进:  2 字符"/>
    <w:basedOn w:val="31"/>
    <w:qFormat/>
    <w:uiPriority w:val="0"/>
    <w:pPr>
      <w:ind w:left="200" w:leftChars="200"/>
    </w:pPr>
    <w:rPr>
      <w:szCs w:val="20"/>
    </w:rPr>
  </w:style>
  <w:style w:type="paragraph" w:customStyle="1" w:styleId="31">
    <w:name w:val="样式 四号 左侧:  1.53 厘米"/>
    <w:basedOn w:val="1"/>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3014</Words>
  <Characters>3199</Characters>
  <Lines>24</Lines>
  <Paragraphs>6</Paragraphs>
  <TotalTime>4</TotalTime>
  <ScaleCrop>false</ScaleCrop>
  <LinksUpToDate>false</LinksUpToDate>
  <CharactersWithSpaces>3208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2021-03-29T17:03:00Z</dcterms:created>
  <dc:creator>w's'd</dc:creator>
  <cp:lastModifiedBy>administrator</cp:lastModifiedBy>
  <cp:lastPrinted>2023-05-07T03:03:00Z</cp:lastPrinted>
  <dcterms:modified xsi:type="dcterms:W3CDTF">2025-04-09T13:54:19Z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C41D064F5A2C4F4180AFBE37C40EFAE9_13</vt:lpwstr>
  </property>
</Properties>
</file>