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napToGrid w:val="0"/>
        <w:spacing w:line="560" w:lineRule="exact"/>
        <w:jc w:val="right"/>
        <w:textAlignment w:val="auto"/>
        <w:rPr>
          <w:rFonts w:ascii="仿宋" w:eastAsia="仿宋" w:cs="Times New Roman"/>
          <w:b/>
          <w:bCs/>
          <w:kern w:val="0"/>
          <w:sz w:val="44"/>
          <w:szCs w:val="44"/>
        </w:rPr>
      </w:pPr>
      <w:r>
        <w:rPr>
          <w:rFonts w:ascii="仿宋" w:eastAsia="仿宋" w:cs="Times New Roman" w:hint="eastAsia"/>
          <w:sz w:val="32"/>
          <w:szCs w:val="32"/>
        </w:rPr>
        <w:t xml:space="preserve">     </w:t>
      </w:r>
    </w:p>
    <w:p>
      <w:pPr>
        <w:keepNext w:val="0"/>
        <w:keepLines w:val="0"/>
        <w:pageBreakBefore w:val="0"/>
        <w:widowControl w:val="0"/>
        <w:kinsoku/>
        <w:wordWrap/>
        <w:overflowPunct/>
        <w:topLinePunct w:val="0"/>
        <w:autoSpaceDE/>
        <w:autoSpaceDN/>
        <w:adjustRightInd/>
        <w:snapToGrid/>
        <w:spacing w:beforeLines="50" w:before="156" w:afterLines="50" w:after="156" w:line="640" w:lineRule="exact"/>
        <w:jc w:val="right"/>
        <w:rPr>
          <w:rFonts w:ascii="Times New Roman" w:eastAsia="仿宋_GB2312" w:cs="仿宋_GB2312" w:hAnsi="Times New Roman" w:hint="eastAsia"/>
          <w:sz w:val="32"/>
          <w:szCs w:val="32"/>
        </w:rPr>
      </w:pPr>
      <w:r>
        <w:rPr>
          <w:rFonts w:ascii="Times New Roman" w:eastAsia="仿宋_GB2312" w:cs="仿宋_GB2312" w:hAnsi="Times New Roman" w:hint="eastAsia"/>
          <w:color w:val="auto"/>
          <w:sz w:val="32"/>
          <w:szCs w:val="32"/>
          <w:lang w:val="en-US" w:eastAsia="zh-CN"/>
        </w:rPr>
        <w:t xml:space="preserve"> </w:t>
      </w:r>
      <w:r>
        <w:rPr>
          <w:rFonts w:ascii="Times New Roman" w:eastAsia="仿宋_GB2312" w:cs="仿宋_GB2312" w:hAnsi="Times New Roman" w:hint="eastAsia"/>
          <w:color w:val="auto"/>
          <w:sz w:val="32"/>
          <w:szCs w:val="32"/>
        </w:rPr>
        <w:t>秦审批环准许〔202</w:t>
      </w:r>
      <w:r>
        <w:rPr>
          <w:rFonts w:ascii="Times New Roman" w:eastAsia="仿宋_GB2312" w:cs="仿宋_GB2312" w:hAnsi="Times New Roman"/>
          <w:color w:val="auto"/>
          <w:sz w:val="32"/>
          <w:szCs w:val="32"/>
        </w:rPr>
        <w:t>4</w:t>
      </w:r>
      <w:r>
        <w:rPr>
          <w:rFonts w:ascii="Times New Roman" w:eastAsia="仿宋_GB2312" w:cs="仿宋_GB2312" w:hAnsi="Times New Roman" w:hint="eastAsia"/>
          <w:color w:val="auto"/>
          <w:sz w:val="32"/>
          <w:szCs w:val="32"/>
        </w:rPr>
        <w:t>〕0</w:t>
      </w:r>
      <w:r>
        <w:rPr>
          <w:rFonts w:ascii="Times New Roman" w:eastAsia="仿宋_GB2312" w:cs="仿宋_GB2312" w:hAnsi="Times New Roman" w:hint="eastAsia"/>
          <w:color w:val="auto"/>
          <w:sz w:val="32"/>
          <w:szCs w:val="32"/>
          <w:lang w:val="en-US" w:eastAsia="zh-CN"/>
        </w:rPr>
        <w:t>2</w:t>
      </w:r>
      <w:r>
        <w:rPr>
          <w:rFonts w:ascii="Times New Roman" w:eastAsia="仿宋_GB2312" w:cs="仿宋_GB2312" w:hAnsi="Times New Roman" w:hint="eastAsia"/>
          <w:color w:val="auto"/>
          <w:sz w:val="32"/>
          <w:szCs w:val="32"/>
        </w:rPr>
        <w:t>-00</w:t>
      </w:r>
      <w:r>
        <w:rPr>
          <w:rFonts w:ascii="Times New Roman" w:eastAsia="仿宋_GB2312" w:cs="仿宋_GB2312" w:hAnsi="Times New Roman"/>
          <w:color w:val="auto"/>
          <w:sz w:val="32"/>
          <w:szCs w:val="32"/>
        </w:rPr>
        <w:t>32</w:t>
      </w:r>
      <w:r>
        <w:rPr>
          <w:rFonts w:ascii="Times New Roman" w:eastAsia="仿宋_GB2312" w:cs="仿宋_GB2312" w:hAnsi="Times New Roman" w:hint="eastAsia"/>
          <w:color w:val="auto"/>
          <w:sz w:val="32"/>
          <w:szCs w:val="32"/>
        </w:rPr>
        <w:t>号</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hint="eastAsia"/>
          <w:bCs/>
          <w:kern w:val="44"/>
          <w:sz w:val="44"/>
          <w:szCs w:val="44"/>
          <w:lang w:val="en-US" w:eastAsia="zh-CN"/>
        </w:rPr>
      </w:pPr>
      <w:r>
        <w:rPr>
          <w:rFonts w:ascii="方正小标宋简体" w:eastAsia="方正小标宋简体" w:cs="方正小标宋简体" w:hint="eastAsia"/>
          <w:kern w:val="44"/>
          <w:sz w:val="44"/>
          <w:szCs w:val="44"/>
        </w:rPr>
        <w:t>关于</w:t>
      </w:r>
      <w:r>
        <w:rPr>
          <w:rFonts w:ascii="方正小标宋简体" w:eastAsia="方正小标宋简体" w:cs="方正小标宋简体"/>
          <w:kern w:val="44"/>
          <w:sz w:val="44"/>
          <w:szCs w:val="44"/>
        </w:rPr>
        <w:t>《</w:t>
      </w:r>
      <w:r>
        <w:rPr>
          <w:rFonts w:ascii="方正小标宋简体" w:eastAsia="方正小标宋简体" w:cs="方正小标宋简体" w:hint="eastAsia"/>
          <w:bCs/>
          <w:kern w:val="44"/>
          <w:sz w:val="44"/>
          <w:szCs w:val="44"/>
          <w:lang w:val="en-US" w:eastAsia="zh-CN"/>
        </w:rPr>
        <w:t>中信戴卡股份有限公司</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hint="eastAsia"/>
          <w:bCs/>
          <w:kern w:val="44"/>
          <w:sz w:val="44"/>
          <w:szCs w:val="44"/>
          <w:lang w:val="en-US" w:eastAsia="zh-CN"/>
        </w:rPr>
      </w:pPr>
      <w:r>
        <w:rPr>
          <w:rFonts w:ascii="方正小标宋简体" w:eastAsia="方正小标宋简体" w:cs="方正小标宋简体" w:hint="eastAsia"/>
          <w:bCs/>
          <w:kern w:val="44"/>
          <w:sz w:val="44"/>
          <w:szCs w:val="44"/>
          <w:lang w:val="en-US" w:eastAsia="zh-CN"/>
        </w:rPr>
        <w:t>产业园2024年技术改造一期项目</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hint="eastAsia"/>
          <w:kern w:val="44"/>
          <w:sz w:val="44"/>
          <w:szCs w:val="44"/>
        </w:rPr>
      </w:pPr>
      <w:r>
        <w:rPr>
          <w:rFonts w:ascii="方正小标宋简体" w:eastAsia="方正小标宋简体" w:cs="方正小标宋简体" w:hint="eastAsia"/>
          <w:kern w:val="44"/>
          <w:sz w:val="44"/>
          <w:szCs w:val="44"/>
        </w:rPr>
        <w:t>环境影响报告表</w:t>
      </w:r>
      <w:r>
        <w:rPr>
          <w:rFonts w:ascii="方正小标宋简体" w:eastAsia="方正小标宋简体" w:cs="方正小标宋简体"/>
          <w:kern w:val="44"/>
          <w:sz w:val="44"/>
          <w:szCs w:val="44"/>
        </w:rPr>
        <w:t>》</w:t>
      </w:r>
      <w:r>
        <w:rPr>
          <w:rFonts w:ascii="方正小标宋简体" w:eastAsia="方正小标宋简体" w:cs="方正小标宋简体" w:hint="eastAsia"/>
          <w:kern w:val="44"/>
          <w:sz w:val="44"/>
          <w:szCs w:val="44"/>
        </w:rPr>
        <w:t>的</w:t>
      </w:r>
      <w:bookmarkStart w:id="0" w:name="_GoBack"/>
      <w:bookmarkEnd w:id="0"/>
      <w:r>
        <w:rPr>
          <w:rFonts w:ascii="方正小标宋简体" w:eastAsia="方正小标宋简体" w:cs="方正小标宋简体" w:hint="eastAsia"/>
          <w:kern w:val="44"/>
          <w:sz w:val="44"/>
          <w:szCs w:val="44"/>
        </w:rPr>
        <w:t>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仿宋_GB2312" w:eastAsia="仿宋_GB2312" w:cs="仿宋_GB2312" w:hint="eastAsia"/>
          <w:color w:val="000000"/>
          <w:kern w:val="0"/>
          <w:sz w:val="32"/>
          <w:szCs w:val="32"/>
          <w:lang w:eastAsia="zh-CN"/>
        </w:rPr>
      </w:pPr>
    </w:p>
    <w:p>
      <w:pPr>
        <w:keepNext w:val="0"/>
        <w:keepLines w:val="0"/>
        <w:pageBreakBefore w:val="0"/>
        <w:widowControl w:val="0"/>
        <w:kinsoku/>
        <w:wordWrap/>
        <w:overflowPunct/>
        <w:topLinePunct w:val="0"/>
        <w:autoSpaceDE/>
        <w:autoSpaceDN/>
        <w:bidi w:val="0"/>
        <w:snapToGrid w:val="0"/>
        <w:spacing w:line="540" w:lineRule="exact"/>
        <w:ind w:left="0" w:right="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中信戴卡股份有限公司：</w:t>
      </w:r>
    </w:p>
    <w:p>
      <w:pPr>
        <w:spacing w:line="540" w:lineRule="exact"/>
        <w:rPr>
          <w:rFonts w:ascii="仿宋_GB2312" w:eastAsia="仿宋_GB2312" w:cs="仿宋_GB2312" w:hint="eastAsia"/>
          <w:bCs/>
          <w:color w:val="000000"/>
          <w:kern w:val="0"/>
          <w:sz w:val="32"/>
          <w:szCs w:val="32"/>
        </w:rPr>
      </w:pP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 xml:space="preserve">   所报《</w:t>
      </w:r>
      <w:r>
        <w:rPr>
          <w:rFonts w:ascii="仿宋_GB2312" w:eastAsia="仿宋_GB2312" w:cs="仿宋_GB2312" w:hint="eastAsia"/>
          <w:bCs/>
          <w:color w:val="000000"/>
          <w:kern w:val="0"/>
          <w:sz w:val="32"/>
          <w:szCs w:val="32"/>
          <w:lang w:val="en-US" w:eastAsia="zh-CN"/>
        </w:rPr>
        <w:t>中信戴卡股份有限公司产业园2024年技术改造一期项目</w:t>
      </w:r>
      <w:r>
        <w:rPr>
          <w:rFonts w:ascii="仿宋_GB2312" w:eastAsia="仿宋_GB2312" w:cs="仿宋_GB2312" w:hint="eastAsia"/>
          <w:color w:val="000000"/>
          <w:kern w:val="0"/>
          <w:sz w:val="32"/>
          <w:szCs w:val="32"/>
        </w:rPr>
        <w:t>环境影响报告表》（以下简称《报告表》）审批申请及相关材料收悉。现结合环境影响报告表结论、专家意见、项目环境影响特点、公示反馈及河北绿业环保科技有限公司对</w:t>
      </w:r>
      <w:r>
        <w:rPr>
          <w:rFonts w:ascii="Times New Roman" w:eastAsia="仿宋" w:hAnsi="Times New Roman" w:hint="eastAsia"/>
          <w:sz w:val="32"/>
          <w:szCs w:val="32"/>
          <w:lang w:eastAsia="zh-CN"/>
        </w:rPr>
        <w:t>中信戴卡股份有限公司产业园2024年技术改造一期项目</w:t>
      </w:r>
      <w:r>
        <w:rPr>
          <w:rFonts w:ascii="仿宋_GB2312" w:eastAsia="仿宋_GB2312" w:cs="仿宋_GB2312" w:hint="eastAsia"/>
          <w:bCs/>
          <w:color w:val="000000"/>
          <w:kern w:val="0"/>
          <w:sz w:val="32"/>
          <w:szCs w:val="32"/>
        </w:rPr>
        <w:t>环境影响报告表技术评估意见</w:t>
      </w:r>
      <w:r>
        <w:rPr>
          <w:rFonts w:ascii="仿宋_GB2312" w:eastAsia="仿宋_GB2312" w:cs="仿宋_GB2312" w:hint="eastAsia"/>
          <w:color w:val="000000"/>
          <w:kern w:val="0"/>
          <w:sz w:val="32"/>
          <w:szCs w:val="32"/>
        </w:rPr>
        <w:t xml:space="preserve">等方面情况，经研究，批复如下： </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lang w:eastAsia="zh-CN"/>
        </w:rPr>
        <w:t>一、</w:t>
      </w:r>
      <w:r>
        <w:rPr>
          <w:rFonts w:ascii="仿宋_GB2312" w:eastAsia="仿宋_GB2312" w:cs="仿宋_GB2312" w:hint="eastAsia"/>
          <w:color w:val="000000"/>
          <w:kern w:val="0"/>
          <w:sz w:val="32"/>
          <w:szCs w:val="32"/>
        </w:rPr>
        <w:t>项目建设内容和总体要求</w:t>
      </w:r>
      <w:r>
        <w:rPr>
          <w:rFonts w:asci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adjustRightInd/>
        <w:snapToGrid/>
        <w:spacing w:line="540" w:lineRule="exact"/>
        <w:ind w:firstLineChars="200" w:firstLine="640"/>
        <w:rPr>
          <w:rFonts w:ascii="Times New Roman" w:eastAsia="仿宋" w:hAnsi="Times New Roman" w:hint="eastAsia"/>
          <w:sz w:val="32"/>
          <w:szCs w:val="32"/>
        </w:rPr>
      </w:pPr>
      <w:r>
        <w:rPr>
          <w:rFonts w:ascii="仿宋_GB2312" w:eastAsia="仿宋_GB2312" w:cs="仿宋_GB2312" w:hint="eastAsia"/>
          <w:color w:val="000000"/>
          <w:kern w:val="0"/>
          <w:sz w:val="32"/>
          <w:szCs w:val="32"/>
        </w:rPr>
        <w:t>该技改建项目位于</w:t>
      </w:r>
      <w:r>
        <w:rPr>
          <w:rFonts w:ascii="Times New Roman" w:eastAsia="仿宋" w:hAnsi="Times New Roman"/>
          <w:color w:val="auto"/>
          <w:sz w:val="32"/>
          <w:szCs w:val="32"/>
        </w:rPr>
        <w:t>秦皇岛市经济技术开发区龙海道185号</w:t>
      </w:r>
      <w:r>
        <w:rPr>
          <w:rFonts w:ascii="Times New Roman" w:eastAsia="仿宋" w:hAnsi="Times New Roman" w:hint="eastAsia"/>
          <w:color w:val="auto"/>
          <w:sz w:val="32"/>
          <w:szCs w:val="32"/>
          <w:lang w:eastAsia="zh-CN"/>
        </w:rPr>
        <w:t>，</w:t>
      </w:r>
      <w:r>
        <w:rPr>
          <w:rFonts w:ascii="Times New Roman" w:eastAsia="仿宋" w:hAnsi="Times New Roman"/>
          <w:color w:val="auto"/>
          <w:sz w:val="32"/>
          <w:szCs w:val="32"/>
        </w:rPr>
        <w:t>中信戴卡股份有限公司</w:t>
      </w:r>
      <w:r>
        <w:rPr>
          <w:rFonts w:ascii="Times New Roman" w:eastAsia="仿宋" w:hAnsi="Times New Roman" w:hint="eastAsia"/>
          <w:color w:val="auto"/>
          <w:sz w:val="32"/>
          <w:szCs w:val="32"/>
          <w:lang w:val="en-US" w:eastAsia="zh-CN"/>
        </w:rPr>
        <w:t>厂区现有车间内（原铝屑炉位置）</w:t>
      </w:r>
      <w:r>
        <w:rPr>
          <w:rFonts w:ascii="Times New Roman" w:eastAsia="仿宋" w:hAnsi="Times New Roman"/>
          <w:color w:val="auto"/>
          <w:sz w:val="32"/>
          <w:szCs w:val="32"/>
          <w:lang w:val="en-US" w:eastAsia="zh-CN"/>
        </w:rPr>
        <w:t>,</w:t>
      </w:r>
      <w:r>
        <w:rPr>
          <w:rFonts w:ascii="Times New Roman" w:eastAsia="仿宋" w:hAnsi="Times New Roman"/>
          <w:color w:val="auto"/>
          <w:sz w:val="32"/>
          <w:szCs w:val="32"/>
        </w:rPr>
        <w:t>中心地理坐标为E119°25′0.61"，N39°55′31.72"，</w:t>
      </w:r>
      <w:r>
        <w:rPr>
          <w:rFonts w:ascii="仿宋_GB2312" w:eastAsia="仿宋_GB2312" w:cs="仿宋_GB2312" w:hint="eastAsia"/>
          <w:bCs/>
          <w:color w:val="000000"/>
          <w:kern w:val="0"/>
          <w:sz w:val="32"/>
          <w:szCs w:val="32"/>
        </w:rPr>
        <w:t>该</w:t>
      </w:r>
      <w:r>
        <w:rPr>
          <w:rFonts w:ascii="仿宋_GB2312" w:eastAsia="仿宋_GB2312" w:cs="仿宋_GB2312"/>
          <w:bCs/>
          <w:color w:val="000000"/>
          <w:kern w:val="0"/>
          <w:sz w:val="32"/>
          <w:szCs w:val="32"/>
        </w:rPr>
        <w:t>选址</w:t>
      </w:r>
      <w:r>
        <w:rPr>
          <w:rFonts w:ascii="Times New Roman" w:eastAsia="仿宋" w:cs="Times New Roman" w:hAnsi="Times New Roman"/>
          <w:sz w:val="32"/>
          <w:szCs w:val="32"/>
          <w:lang w:val="en-US" w:eastAsia="zh-CN"/>
        </w:rPr>
        <w:t>属于秦皇岛新兴产业园的高端装备制造产业区，</w:t>
      </w:r>
      <w:r>
        <w:rPr>
          <w:rFonts w:ascii="Times New Roman" w:eastAsia="仿宋" w:hAnsi="Times New Roman" w:hint="eastAsia"/>
          <w:color w:val="auto"/>
          <w:sz w:val="32"/>
          <w:szCs w:val="32"/>
        </w:rPr>
        <w:t>不新增用地</w:t>
      </w:r>
      <w:r>
        <w:rPr>
          <w:rFonts w:ascii="Times New Roman" w:eastAsia="仿宋" w:hAnsi="Times New Roman"/>
          <w:color w:val="auto"/>
          <w:sz w:val="32"/>
          <w:szCs w:val="32"/>
        </w:rPr>
        <w:t>，</w:t>
      </w:r>
      <w:r>
        <w:rPr>
          <w:rFonts w:ascii="Times New Roman" w:eastAsia="仿宋" w:cs="Times New Roman" w:hAnsi="Times New Roman"/>
          <w:sz w:val="32"/>
          <w:szCs w:val="32"/>
          <w:lang w:val="en-US" w:eastAsia="zh-CN"/>
        </w:rPr>
        <w:t>用地性质为工业用地，不属于《产业结构调整指导目录（2024年本）》中限制类、淘汰类项目。该厂址附近无国家、省、市规定的重点文物保护单位、水源保护区、风景名胜区、革命历史古迹等环境敏感点。符合《秦皇岛新兴产业园总体规划（2010-2020年）》、《秦皇岛新兴产业园总体规划（2010-2020年）环境影响跟踪评价报告书》及其审查意见要求。项目用水、用电、天然气均依托中信戴卡现有设施，且可满足项目需求。同时本技改项目采取了完善的污染治理设施，可确保污染物达标排放。</w:t>
      </w:r>
      <w:r>
        <w:rPr>
          <w:rFonts w:ascii="仿宋_GB2312" w:eastAsia="仿宋_GB2312" w:cs="仿宋_GB2312" w:hint="eastAsia"/>
          <w:bCs/>
          <w:color w:val="000000"/>
          <w:kern w:val="0"/>
          <w:sz w:val="32"/>
          <w:szCs w:val="32"/>
        </w:rPr>
        <w:t>综上，该项目选址合理。</w:t>
      </w:r>
    </w:p>
    <w:p>
      <w:pPr>
        <w:keepNext w:val="0"/>
        <w:keepLines w:val="0"/>
        <w:pageBreakBefore w:val="0"/>
        <w:widowControl w:val="0"/>
        <w:kinsoku/>
        <w:wordWrap/>
        <w:overflowPunct/>
        <w:topLinePunct w:val="0"/>
        <w:autoSpaceDE/>
        <w:autoSpaceDN/>
        <w:adjustRightInd/>
        <w:snapToGrid/>
        <w:spacing w:line="540" w:lineRule="exact"/>
        <w:ind w:firstLineChars="200" w:firstLine="640"/>
        <w:rPr>
          <w:rFonts w:ascii="Times New Roman" w:eastAsia="仿宋" w:cs="Times New Roman" w:hAnsi="Times New Roman"/>
          <w:sz w:val="32"/>
          <w:szCs w:val="32"/>
        </w:rPr>
      </w:pPr>
      <w:r>
        <w:rPr>
          <w:rFonts w:ascii="仿宋_GB2312" w:eastAsia="仿宋_GB2312" w:cs="仿宋_GB2312" w:hint="eastAsia"/>
          <w:color w:val="000000"/>
          <w:kern w:val="0"/>
          <w:sz w:val="32"/>
          <w:szCs w:val="32"/>
        </w:rPr>
        <w:t>主要建设内容及规模：</w:t>
      </w:r>
      <w:r>
        <w:rPr>
          <w:rFonts w:ascii="Times New Roman" w:eastAsia="仿宋" w:cs="Times New Roman" w:hAnsi="Times New Roman" w:hint="eastAsia"/>
          <w:color w:val="auto"/>
          <w:sz w:val="32"/>
          <w:szCs w:val="32"/>
          <w:lang w:val="en-US" w:eastAsia="zh-CN"/>
          <w:highlight w:val="auto"/>
        </w:rPr>
        <w:t>利用现有车间，一号线采购1台5t/h兼用炉替换现有A组1t/h铝屑炉，新增兼用炉容积为20吨，研发车间采购1台双铣工位柔性锯切。</w:t>
      </w:r>
      <w:r>
        <w:rPr>
          <w:rFonts w:ascii="Times New Roman" w:eastAsia="仿宋" w:cs="Times New Roman" w:hAnsi="Times New Roman"/>
          <w:color w:val="auto"/>
          <w:sz w:val="32"/>
          <w:szCs w:val="32"/>
          <w:lang w:val="en-US" w:eastAsia="zh-CN"/>
          <w:highlight w:val="auto"/>
        </w:rPr>
        <w:t>本次技改</w:t>
      </w:r>
      <w:r>
        <w:rPr>
          <w:rFonts w:ascii="Times New Roman" w:eastAsia="仿宋" w:cs="Times New Roman" w:hAnsi="Times New Roman" w:hint="eastAsia"/>
          <w:color w:val="auto"/>
          <w:sz w:val="32"/>
          <w:szCs w:val="32"/>
          <w:lang w:val="en-US" w:eastAsia="zh-CN"/>
          <w:highlight w:val="auto"/>
        </w:rPr>
        <w:t>完成后不增加总体产能</w:t>
      </w:r>
      <w:r>
        <w:rPr>
          <w:rFonts w:ascii="仿宋_GB2312" w:eastAsia="仿宋_GB2312" w:cs="仿宋_GB2312" w:hint="eastAsia"/>
          <w:color w:val="000000"/>
          <w:kern w:val="0"/>
          <w:sz w:val="32"/>
          <w:szCs w:val="32"/>
        </w:rPr>
        <w:t>。</w:t>
      </w:r>
      <w:r>
        <w:rPr>
          <w:rFonts w:ascii="仿宋_GB2312" w:eastAsia="仿宋_GB2312" w:cs="仿宋_GB2312" w:hint="eastAsia"/>
          <w:color w:val="000000"/>
          <w:kern w:val="0"/>
          <w:sz w:val="32"/>
          <w:szCs w:val="32"/>
          <w:lang w:eastAsia="zh-CN"/>
        </w:rPr>
        <w:t>项目总投资</w:t>
      </w:r>
      <w:r>
        <w:rPr>
          <w:rFonts w:ascii="仿宋_GB2312" w:eastAsia="仿宋_GB2312" w:cs="仿宋_GB2312" w:hint="eastAsia"/>
          <w:color w:val="000000"/>
          <w:kern w:val="0"/>
          <w:sz w:val="32"/>
          <w:szCs w:val="32"/>
          <w:lang w:val="en-US" w:eastAsia="zh-CN"/>
        </w:rPr>
        <w:t>：</w:t>
      </w:r>
      <w:r>
        <w:rPr>
          <w:rFonts w:ascii="Times New Roman" w:eastAsia="仿宋" w:hAnsi="Times New Roman" w:hint="eastAsia"/>
          <w:color w:val="auto"/>
          <w:sz w:val="32"/>
          <w:szCs w:val="32"/>
          <w:lang w:eastAsia="zh-CN"/>
          <w:highlight w:val="auto"/>
        </w:rPr>
        <w:t>709</w:t>
      </w:r>
      <w:r>
        <w:rPr>
          <w:rFonts w:ascii="仿宋_GB2312" w:eastAsia="仿宋_GB2312" w:cs="仿宋_GB2312" w:hint="eastAsia"/>
          <w:color w:val="000000"/>
          <w:kern w:val="0"/>
          <w:sz w:val="32"/>
          <w:szCs w:val="32"/>
        </w:rPr>
        <w:t>万元，其中环保投资</w:t>
      </w:r>
      <w:r>
        <w:rPr>
          <w:rFonts w:ascii="仿宋_GB2312" w:eastAsia="仿宋_GB2312" w:cs="仿宋_GB2312"/>
          <w:color w:val="000000"/>
          <w:kern w:val="0"/>
          <w:sz w:val="32"/>
          <w:szCs w:val="32"/>
        </w:rPr>
        <w:t>50</w:t>
      </w:r>
      <w:r>
        <w:rPr>
          <w:rFonts w:ascii="仿宋_GB2312" w:eastAsia="仿宋_GB2312" w:cs="仿宋_GB2312" w:hint="eastAsia"/>
          <w:color w:val="000000"/>
          <w:kern w:val="0"/>
          <w:sz w:val="32"/>
          <w:szCs w:val="32"/>
        </w:rPr>
        <w:t>万元，占总投资的</w:t>
      </w:r>
      <w:r>
        <w:rPr>
          <w:rFonts w:ascii="仿宋_GB2312" w:eastAsia="仿宋_GB2312" w:cs="仿宋_GB2312"/>
          <w:color w:val="000000"/>
          <w:kern w:val="0"/>
          <w:sz w:val="32"/>
          <w:szCs w:val="32"/>
        </w:rPr>
        <w:t>7.05</w:t>
      </w:r>
      <w:r>
        <w:rPr>
          <w:rFonts w:ascii="仿宋_GB2312" w:eastAsia="仿宋_GB2312" w:cs="仿宋_GB2312" w:hint="eastAsia"/>
          <w:color w:val="000000"/>
          <w:kern w:val="0"/>
          <w:sz w:val="32"/>
          <w:szCs w:val="32"/>
        </w:rPr>
        <w:t>%。</w:t>
      </w:r>
    </w:p>
    <w:p>
      <w:pPr>
        <w:spacing w:line="540" w:lineRule="exact"/>
        <w:ind w:firstLineChars="200" w:firstLine="640"/>
        <w:rPr>
          <w:rFonts w:ascii="仿宋_GB2312" w:eastAsia="仿宋_GB2312" w:cs="仿宋_GB2312"/>
          <w:color w:val="auto"/>
          <w:kern w:val="0"/>
          <w:sz w:val="32"/>
          <w:szCs w:val="32"/>
        </w:rPr>
      </w:pPr>
      <w:r>
        <w:rPr>
          <w:rFonts w:ascii="仿宋_GB2312" w:eastAsia="仿宋_GB2312" w:cs="仿宋_GB2312"/>
          <w:color w:val="000000"/>
          <w:kern w:val="0"/>
          <w:sz w:val="32"/>
          <w:szCs w:val="32"/>
        </w:rPr>
        <w:t>该</w:t>
      </w:r>
      <w:r>
        <w:rPr>
          <w:rFonts w:ascii="仿宋_GB2312" w:eastAsia="仿宋_GB2312" w:cs="仿宋_GB2312" w:hint="eastAsia"/>
          <w:color w:val="000000"/>
          <w:kern w:val="0"/>
          <w:sz w:val="32"/>
          <w:szCs w:val="32"/>
        </w:rPr>
        <w:t>项目</w:t>
      </w:r>
      <w:r>
        <w:rPr>
          <w:rFonts w:ascii="Times New Roman" w:eastAsia="仿宋" w:hAnsi="Times New Roman" w:hint="eastAsia"/>
          <w:sz w:val="32"/>
          <w:szCs w:val="32"/>
          <w:lang w:val="en-US" w:eastAsia="zh-CN"/>
        </w:rPr>
        <w:t>不</w:t>
      </w:r>
      <w:r>
        <w:rPr>
          <w:rFonts w:ascii="Times New Roman" w:eastAsia="仿宋" w:hAnsi="Times New Roman"/>
          <w:sz w:val="32"/>
          <w:szCs w:val="32"/>
        </w:rPr>
        <w:t>属于《产业结构调整指导目录（</w:t>
      </w:r>
      <w:r>
        <w:rPr>
          <w:rFonts w:ascii="Times New Roman" w:eastAsia="仿宋" w:hAnsi="Times New Roman" w:hint="eastAsia"/>
          <w:sz w:val="32"/>
          <w:szCs w:val="32"/>
          <w:lang w:eastAsia="zh-CN"/>
        </w:rPr>
        <w:t>2024年本</w:t>
      </w:r>
      <w:r>
        <w:rPr>
          <w:rFonts w:ascii="Times New Roman" w:eastAsia="仿宋" w:hAnsi="Times New Roman"/>
          <w:sz w:val="32"/>
          <w:szCs w:val="32"/>
        </w:rPr>
        <w:t>）》中鼓励类</w:t>
      </w:r>
      <w:r>
        <w:rPr>
          <w:rFonts w:ascii="Times New Roman" w:eastAsia="仿宋" w:hAnsi="Times New Roman" w:hint="eastAsia"/>
          <w:sz w:val="32"/>
          <w:szCs w:val="32"/>
          <w:lang w:eastAsia="zh-CN"/>
        </w:rPr>
        <w:t>、</w:t>
      </w:r>
      <w:r>
        <w:rPr>
          <w:rFonts w:ascii="Times New Roman" w:eastAsia="仿宋" w:hAnsi="Times New Roman" w:hint="eastAsia"/>
          <w:sz w:val="32"/>
          <w:szCs w:val="32"/>
          <w:lang w:val="en-US" w:eastAsia="zh-CN"/>
        </w:rPr>
        <w:t>限制类、淘汰类项目</w:t>
      </w:r>
      <w:r>
        <w:rPr>
          <w:rFonts w:ascii="Times New Roman" w:eastAsia="仿宋" w:hAnsi="Times New Roman"/>
          <w:sz w:val="32"/>
          <w:szCs w:val="32"/>
        </w:rPr>
        <w:t>；对照《市场准入负面清单（2022年版）》，该项目不属于文件中的禁止准入类和许可准入类项目，且不涉及其中禁止措施</w:t>
      </w:r>
      <w:r>
        <w:rPr>
          <w:rFonts w:ascii="Times New Roman" w:eastAsia="仿宋" w:hAnsi="Times New Roman"/>
          <w:color w:val="auto"/>
          <w:sz w:val="32"/>
          <w:szCs w:val="32"/>
        </w:rPr>
        <w:t>；不属于《秦皇岛市限制和禁止投资的产业目录》（2020年修订版）限制和禁止类。本</w:t>
      </w:r>
      <w:r>
        <w:rPr>
          <w:rFonts w:ascii="仿宋_GB2312" w:eastAsia="仿宋_GB2312" w:cs="仿宋_GB2312" w:hint="eastAsia"/>
          <w:color w:val="auto"/>
          <w:kern w:val="0"/>
          <w:sz w:val="32"/>
          <w:szCs w:val="32"/>
        </w:rPr>
        <w:t>项目已在</w:t>
      </w:r>
      <w:r>
        <w:rPr>
          <w:rFonts w:ascii="Times New Roman" w:eastAsia="仿宋" w:hAnsi="Times New Roman"/>
          <w:color w:val="auto"/>
          <w:sz w:val="32"/>
          <w:szCs w:val="32"/>
        </w:rPr>
        <w:t>秦皇岛经济技术开发区行政审批局进行了备案，备案编号：</w:t>
      </w:r>
      <w:r>
        <w:rPr>
          <w:rFonts w:ascii="Times New Roman" w:eastAsia="仿宋" w:hAnsi="Times New Roman" w:hint="eastAsia"/>
          <w:color w:val="auto"/>
          <w:sz w:val="32"/>
          <w:szCs w:val="32"/>
          <w:lang w:eastAsia="zh-CN"/>
        </w:rPr>
        <w:t>冀秦区备字〔2024〕134号</w:t>
      </w:r>
      <w:r>
        <w:rPr>
          <w:rFonts w:ascii="仿宋_GB2312" w:eastAsia="仿宋_GB2312" w:cs="仿宋_GB2312" w:hint="eastAsia"/>
          <w:color w:val="auto"/>
          <w:kern w:val="0"/>
          <w:sz w:val="32"/>
          <w:szCs w:val="32"/>
        </w:rPr>
        <w:t>。</w:t>
      </w:r>
      <w:r>
        <w:rPr>
          <w:rFonts w:ascii="仿宋_GB2312" w:eastAsia="仿宋_GB2312" w:cs="仿宋_GB2312"/>
          <w:color w:val="auto"/>
          <w:kern w:val="0"/>
          <w:sz w:val="32"/>
          <w:szCs w:val="32"/>
        </w:rPr>
        <w:t>该项目</w:t>
      </w:r>
      <w:r>
        <w:rPr>
          <w:rFonts w:ascii="Times New Roman" w:eastAsia="仿宋" w:hAnsi="Times New Roman" w:hint="eastAsia"/>
          <w:color w:val="auto"/>
          <w:sz w:val="32"/>
          <w:szCs w:val="32"/>
        </w:rPr>
        <w:t>符合《秦皇岛新兴产业园总体规划（2010-2020年）》的用地布局以及产业布局要求，符合《秦皇岛新兴产业园总体规划（2010-2020年）环境影响跟踪评价报告书》中“新兴产业园环境准入负面清单”的要求</w:t>
      </w:r>
      <w:r>
        <w:rPr>
          <w:rFonts w:ascii="Times New Roman" w:eastAsia="仿宋" w:hAnsi="Times New Roman"/>
          <w:color w:val="auto"/>
          <w:sz w:val="32"/>
          <w:szCs w:val="32"/>
        </w:rPr>
        <w:t>。</w:t>
      </w:r>
      <w:r>
        <w:rPr>
          <w:rFonts w:ascii="仿宋_GB2312" w:eastAsia="仿宋_GB2312" w:cs="仿宋_GB2312" w:hint="eastAsia"/>
          <w:color w:val="auto"/>
          <w:kern w:val="0"/>
          <w:sz w:val="32"/>
          <w:szCs w:val="32"/>
        </w:rPr>
        <w:t>综上，符合</w:t>
      </w:r>
      <w:r>
        <w:rPr>
          <w:rFonts w:ascii="仿宋_GB2312" w:eastAsia="仿宋_GB2312" w:cs="仿宋_GB2312"/>
          <w:color w:val="auto"/>
          <w:kern w:val="0"/>
          <w:sz w:val="32"/>
          <w:szCs w:val="32"/>
        </w:rPr>
        <w:t>国家及地方</w:t>
      </w:r>
      <w:r>
        <w:rPr>
          <w:rFonts w:ascii="仿宋_GB2312" w:eastAsia="仿宋_GB2312" w:cs="仿宋_GB2312" w:hint="eastAsia"/>
          <w:color w:val="auto"/>
          <w:kern w:val="0"/>
          <w:sz w:val="32"/>
          <w:szCs w:val="32"/>
        </w:rPr>
        <w:t>相关政策要求。</w:t>
      </w:r>
    </w:p>
    <w:p>
      <w:pPr>
        <w:keepNext w:val="0"/>
        <w:keepLines w:val="0"/>
        <w:pageBreakBefore w:val="0"/>
        <w:widowControl w:val="0"/>
        <w:kinsoku/>
        <w:wordWrap/>
        <w:overflowPunct/>
        <w:topLinePunct w:val="0"/>
        <w:autoSpaceDE/>
        <w:autoSpaceDN/>
        <w:adjustRightInd/>
        <w:snapToGrid/>
        <w:spacing w:line="540" w:lineRule="exact"/>
        <w:ind w:firstLineChars="200" w:firstLine="640"/>
        <w:rPr>
          <w:rFonts w:ascii="Times New Roman" w:eastAsia="仿宋" w:hAnsi="Times New Roman" w:hint="eastAsia"/>
          <w:sz w:val="32"/>
          <w:szCs w:val="32"/>
        </w:rPr>
      </w:pPr>
      <w:r>
        <w:rPr>
          <w:rFonts w:ascii="Times New Roman" w:eastAsia="仿宋" w:hAnsi="Times New Roman" w:hint="eastAsia"/>
          <w:color w:val="auto"/>
          <w:sz w:val="32"/>
          <w:szCs w:val="32"/>
          <w:lang w:eastAsia="zh-CN"/>
        </w:rPr>
        <w:t>本项目</w:t>
      </w:r>
      <w:r>
        <w:rPr>
          <w:rFonts w:ascii="Times New Roman" w:eastAsia="仿宋" w:hAnsi="Times New Roman" w:hint="eastAsia"/>
          <w:color w:val="auto"/>
          <w:sz w:val="32"/>
          <w:szCs w:val="32"/>
          <w:lang w:val="en-US" w:eastAsia="zh-CN"/>
        </w:rPr>
        <w:t>不属于《河北省发展和改革委员会关于加强新建“两高”项目管理的通知》（冀发改环资[2022]691号）中的“两高项目”，</w:t>
      </w:r>
      <w:r>
        <w:rPr>
          <w:rFonts w:ascii="Times New Roman" w:eastAsia="仿宋" w:hAnsi="Times New Roman" w:hint="eastAsia"/>
          <w:color w:val="auto"/>
          <w:sz w:val="32"/>
          <w:szCs w:val="32"/>
        </w:rPr>
        <w:t>不属于《环境保护综合名录（2021年版）》中高污染、高环境风险项目</w:t>
      </w:r>
      <w:r>
        <w:rPr>
          <w:rFonts w:ascii="Times New Roman" w:eastAsia="仿宋" w:hAnsi="Times New Roman" w:hint="eastAsia"/>
          <w:color w:val="auto"/>
          <w:sz w:val="32"/>
          <w:szCs w:val="32"/>
          <w:lang w:eastAsia="zh-CN"/>
        </w:rPr>
        <w:t>；</w:t>
      </w:r>
      <w:r>
        <w:rPr>
          <w:rFonts w:ascii="Times New Roman" w:eastAsia="仿宋" w:hAnsi="Times New Roman" w:hint="eastAsia"/>
          <w:color w:val="auto"/>
          <w:sz w:val="32"/>
          <w:szCs w:val="32"/>
        </w:rPr>
        <w:t>不属于《秦皇岛市限制和禁止投资的产业目录》（2020 年修订版）限制和禁止类</w:t>
      </w:r>
      <w:r>
        <w:rPr>
          <w:rFonts w:ascii="Times New Roman" w:eastAsia="仿宋" w:hAnsi="Times New Roman"/>
          <w:color w:val="auto"/>
          <w:sz w:val="32"/>
          <w:szCs w:val="32"/>
        </w:rPr>
        <w:t>；厂址</w:t>
      </w:r>
      <w:r>
        <w:rPr>
          <w:rFonts w:ascii="Times New Roman" w:eastAsia="仿宋" w:hAnsi="Times New Roman" w:hint="eastAsia"/>
          <w:color w:val="auto"/>
          <w:sz w:val="32"/>
          <w:szCs w:val="32"/>
        </w:rPr>
        <w:t>所在区域不属于具有重要水源涵养、生物多样性维护、水土保持、防风固沙、海岸生态稳定等功能的生态功能重要区域，以及水土流失、土地沙化、石漠化、盐渍化等生态环境敏感脆弱区域</w:t>
      </w:r>
      <w:r>
        <w:rPr>
          <w:rFonts w:ascii="Times New Roman" w:eastAsia="仿宋" w:hAnsi="Times New Roman"/>
          <w:color w:val="auto"/>
          <w:sz w:val="32"/>
          <w:szCs w:val="32"/>
        </w:rPr>
        <w:t>。该</w:t>
      </w:r>
      <w:r>
        <w:rPr>
          <w:rFonts w:ascii="Times New Roman" w:eastAsia="仿宋" w:hAnsi="Times New Roman" w:hint="eastAsia"/>
          <w:color w:val="auto"/>
          <w:sz w:val="32"/>
          <w:szCs w:val="32"/>
          <w:lang w:eastAsia="zh-CN"/>
        </w:rPr>
        <w:t>项目</w:t>
      </w:r>
      <w:r>
        <w:rPr>
          <w:rFonts w:ascii="Times New Roman" w:eastAsia="仿宋" w:hAnsi="Times New Roman" w:hint="eastAsia"/>
          <w:color w:val="auto"/>
          <w:sz w:val="32"/>
          <w:szCs w:val="32"/>
          <w:lang w:val="en-US" w:eastAsia="zh-CN"/>
        </w:rPr>
        <w:t>熔炼过程中颗粒物</w:t>
      </w:r>
      <w:r>
        <w:rPr>
          <w:rFonts w:ascii="Times New Roman" w:eastAsia="仿宋" w:hAnsi="Times New Roman"/>
          <w:color w:val="auto"/>
          <w:sz w:val="32"/>
          <w:szCs w:val="32"/>
          <w:lang w:val="en-US" w:eastAsia="zh-CN"/>
        </w:rPr>
        <w:t>选</w:t>
      </w:r>
      <w:r>
        <w:rPr>
          <w:rFonts w:ascii="Times New Roman" w:eastAsia="仿宋" w:hAnsi="Times New Roman" w:hint="eastAsia"/>
          <w:color w:val="auto"/>
          <w:sz w:val="32"/>
          <w:szCs w:val="32"/>
          <w:lang w:val="en-US" w:eastAsia="zh-CN"/>
        </w:rPr>
        <w:t>用袋式除尘器处理</w:t>
      </w:r>
      <w:r>
        <w:rPr>
          <w:rFonts w:ascii="Times New Roman" w:eastAsia="仿宋" w:hAnsi="Times New Roman" w:hint="eastAsia"/>
          <w:color w:val="auto"/>
          <w:sz w:val="32"/>
          <w:szCs w:val="32"/>
          <w:lang w:eastAsia="zh-CN"/>
        </w:rPr>
        <w:t>，</w:t>
      </w:r>
      <w:r>
        <w:rPr>
          <w:rFonts w:ascii="Times New Roman" w:eastAsia="仿宋" w:hAnsi="Times New Roman" w:hint="eastAsia"/>
          <w:color w:val="auto"/>
          <w:sz w:val="32"/>
          <w:szCs w:val="32"/>
        </w:rPr>
        <w:t>处理后</w:t>
      </w:r>
      <w:r>
        <w:rPr>
          <w:rFonts w:ascii="Times New Roman" w:eastAsia="仿宋" w:hAnsi="Times New Roman" w:hint="eastAsia"/>
          <w:color w:val="auto"/>
          <w:sz w:val="32"/>
          <w:szCs w:val="32"/>
          <w:lang w:val="en-US" w:eastAsia="zh-CN"/>
        </w:rPr>
        <w:t>污染物</w:t>
      </w:r>
      <w:r>
        <w:rPr>
          <w:rFonts w:ascii="Times New Roman" w:eastAsia="仿宋" w:hAnsi="Times New Roman" w:hint="eastAsia"/>
          <w:color w:val="auto"/>
          <w:sz w:val="32"/>
          <w:szCs w:val="32"/>
        </w:rPr>
        <w:t>排放</w:t>
      </w:r>
      <w:r>
        <w:rPr>
          <w:rFonts w:ascii="Times New Roman" w:eastAsia="仿宋" w:hAnsi="Times New Roman"/>
          <w:color w:val="auto"/>
          <w:sz w:val="32"/>
          <w:szCs w:val="32"/>
        </w:rPr>
        <w:t>须达到</w:t>
      </w:r>
      <w:r>
        <w:rPr>
          <w:rFonts w:ascii="Times New Roman" w:eastAsia="仿宋" w:hAnsi="Times New Roman" w:hint="eastAsia"/>
          <w:color w:val="auto"/>
          <w:sz w:val="32"/>
          <w:szCs w:val="32"/>
        </w:rPr>
        <w:t>《铸造工业大气污染物排放标准》（GB39726-2020）</w:t>
      </w:r>
      <w:r>
        <w:rPr>
          <w:rFonts w:ascii="Times New Roman" w:eastAsia="仿宋" w:hAnsi="Times New Roman" w:hint="eastAsia"/>
          <w:color w:val="auto"/>
          <w:sz w:val="32"/>
          <w:szCs w:val="32"/>
          <w:lang w:eastAsia="zh-CN"/>
        </w:rPr>
        <w:t>、</w:t>
      </w:r>
      <w:r>
        <w:rPr>
          <w:rFonts w:ascii="Times New Roman" w:eastAsia="仿宋" w:hAnsi="Times New Roman" w:hint="eastAsia"/>
          <w:color w:val="auto"/>
          <w:sz w:val="32"/>
          <w:szCs w:val="32"/>
        </w:rPr>
        <w:t>《</w:t>
      </w:r>
      <w:r>
        <w:rPr>
          <w:rFonts w:ascii="Times New Roman" w:eastAsia="仿宋" w:hAnsi="Times New Roman" w:hint="eastAsia"/>
          <w:color w:val="auto"/>
          <w:sz w:val="32"/>
          <w:szCs w:val="32"/>
          <w:lang w:eastAsia="zh-CN"/>
        </w:rPr>
        <w:t>重污染天气重点行业应急减排措施制定技术指南（2021年修订版</w:t>
      </w:r>
      <w:r>
        <w:rPr>
          <w:rFonts w:ascii="Times New Roman" w:eastAsia="仿宋" w:hAnsi="Times New Roman" w:hint="eastAsia"/>
          <w:color w:val="auto"/>
          <w:sz w:val="32"/>
          <w:szCs w:val="32"/>
        </w:rPr>
        <w:t>）》</w:t>
      </w:r>
      <w:r>
        <w:rPr>
          <w:rFonts w:ascii="Times New Roman" w:eastAsia="仿宋" w:hAnsi="Times New Roman" w:hint="eastAsia"/>
          <w:color w:val="auto"/>
          <w:sz w:val="32"/>
          <w:szCs w:val="32"/>
          <w:lang w:val="en-US" w:eastAsia="zh-CN"/>
        </w:rPr>
        <w:t>以及《再生铜、铝、铅、锌工业污染物排放标准》（GB31574-2015）等标准</w:t>
      </w:r>
      <w:r>
        <w:rPr>
          <w:rFonts w:ascii="Times New Roman" w:eastAsia="仿宋" w:hAnsi="Times New Roman" w:hint="eastAsia"/>
          <w:color w:val="auto"/>
          <w:sz w:val="32"/>
          <w:szCs w:val="32"/>
        </w:rPr>
        <w:t>要求。</w:t>
      </w:r>
      <w:r>
        <w:rPr>
          <w:rFonts w:ascii="Times New Roman" w:eastAsia="仿宋" w:hAnsi="Times New Roman"/>
          <w:color w:val="auto"/>
          <w:sz w:val="32"/>
          <w:szCs w:val="32"/>
        </w:rPr>
        <w:t>该项目</w:t>
      </w:r>
      <w:r>
        <w:rPr>
          <w:rFonts w:ascii="Times New Roman" w:eastAsia="仿宋" w:hAnsi="Times New Roman" w:hint="eastAsia"/>
          <w:color w:val="auto"/>
          <w:sz w:val="32"/>
          <w:szCs w:val="32"/>
          <w:lang w:val="en-US" w:eastAsia="zh-CN"/>
        </w:rPr>
        <w:t>不新增用水</w:t>
      </w:r>
      <w:r>
        <w:rPr>
          <w:rFonts w:ascii="Times New Roman" w:eastAsia="仿宋" w:hAnsi="Times New Roman" w:hint="eastAsia"/>
          <w:color w:val="auto"/>
          <w:sz w:val="32"/>
          <w:szCs w:val="32"/>
        </w:rPr>
        <w:t>，符合当地的水资源条件、水功能区划以及水资源配置的要求。噪声治理措施</w:t>
      </w:r>
      <w:r>
        <w:rPr>
          <w:rFonts w:ascii="Times New Roman" w:eastAsia="仿宋" w:hAnsi="Times New Roman"/>
          <w:color w:val="auto"/>
          <w:sz w:val="32"/>
          <w:szCs w:val="32"/>
        </w:rPr>
        <w:t>须</w:t>
      </w:r>
      <w:r>
        <w:rPr>
          <w:rFonts w:ascii="Times New Roman" w:eastAsia="仿宋" w:hAnsi="Times New Roman" w:hint="eastAsia"/>
          <w:color w:val="auto"/>
          <w:sz w:val="32"/>
          <w:szCs w:val="32"/>
        </w:rPr>
        <w:t>选用低噪声设备、设置减振基础、利用建筑隔声</w:t>
      </w:r>
      <w:r>
        <w:rPr>
          <w:rFonts w:ascii="Times New Roman" w:eastAsia="仿宋" w:hAnsi="Times New Roman"/>
          <w:color w:val="auto"/>
          <w:sz w:val="32"/>
          <w:szCs w:val="32"/>
        </w:rPr>
        <w:t>等</w:t>
      </w:r>
      <w:r>
        <w:rPr>
          <w:rFonts w:ascii="Times New Roman" w:eastAsia="仿宋" w:hAnsi="Times New Roman" w:hint="eastAsia"/>
          <w:color w:val="auto"/>
          <w:sz w:val="32"/>
          <w:szCs w:val="32"/>
        </w:rPr>
        <w:t>，固废均合理处置。各污染物均</w:t>
      </w:r>
      <w:r>
        <w:rPr>
          <w:rFonts w:ascii="Times New Roman" w:eastAsia="仿宋" w:hAnsi="Times New Roman"/>
          <w:color w:val="auto"/>
          <w:sz w:val="32"/>
          <w:szCs w:val="32"/>
        </w:rPr>
        <w:t>须</w:t>
      </w:r>
      <w:r>
        <w:rPr>
          <w:rFonts w:ascii="Times New Roman" w:eastAsia="仿宋" w:hAnsi="Times New Roman" w:hint="eastAsia"/>
          <w:color w:val="auto"/>
          <w:sz w:val="32"/>
          <w:szCs w:val="32"/>
        </w:rPr>
        <w:t>严格的治理和处置措施，不会对周边环境造成较大影响。</w:t>
      </w:r>
      <w:r>
        <w:rPr>
          <w:rFonts w:ascii="Times New Roman" w:eastAsia="仿宋" w:hAnsi="Times New Roman"/>
          <w:color w:val="auto"/>
          <w:sz w:val="32"/>
          <w:szCs w:val="32"/>
        </w:rPr>
        <w:t>综上，</w:t>
      </w:r>
      <w:r>
        <w:rPr>
          <w:rFonts w:ascii="Times New Roman" w:eastAsia="仿宋" w:hAnsi="Times New Roman" w:hint="eastAsia"/>
          <w:color w:val="auto"/>
          <w:sz w:val="32"/>
          <w:szCs w:val="32"/>
        </w:rPr>
        <w:t>符合“三线一单”相关管控要求。</w:t>
      </w:r>
    </w:p>
    <w:p>
      <w:pPr>
        <w:spacing w:line="540" w:lineRule="exact"/>
        <w:ind w:left="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 xml:space="preserve">    该《报告表》已通过专家审查，结合各方面专家意见、</w:t>
      </w:r>
      <w:r>
        <w:rPr>
          <w:rFonts w:ascii="仿宋_GB2312" w:eastAsia="仿宋_GB2312" w:cs="仿宋_GB2312" w:hint="eastAsia"/>
          <w:bCs/>
          <w:color w:val="000000"/>
          <w:kern w:val="0"/>
          <w:sz w:val="32"/>
          <w:szCs w:val="32"/>
        </w:rPr>
        <w:t>技术评估意见及</w:t>
      </w:r>
      <w:r>
        <w:rPr>
          <w:rFonts w:ascii="仿宋_GB2312" w:eastAsia="仿宋_GB2312" w:cs="仿宋_GB2312" w:hint="eastAsia"/>
          <w:color w:val="000000"/>
          <w:kern w:val="0"/>
          <w:sz w:val="32"/>
          <w:szCs w:val="32"/>
          <w:lang w:eastAsia="zh-CN"/>
        </w:rPr>
        <w:t>其</w:t>
      </w:r>
      <w:r>
        <w:rPr>
          <w:rFonts w:ascii="仿宋_GB2312" w:eastAsia="仿宋_GB2312" w:cs="仿宋_GB2312" w:hint="eastAsia"/>
          <w:color w:val="000000"/>
          <w:kern w:val="0"/>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bidi w:val="0"/>
        <w:snapToGrid w:val="0"/>
        <w:spacing w:line="540" w:lineRule="exact"/>
        <w:ind w:left="0" w:right="0" w:firstLineChars="200" w:firstLine="640"/>
        <w:jc w:val="left"/>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lang w:eastAsia="zh-CN"/>
        </w:rPr>
        <w:t>（一）</w:t>
      </w:r>
      <w:r>
        <w:rPr>
          <w:rFonts w:ascii="仿宋_GB2312" w:eastAsia="仿宋_GB2312" w:cs="仿宋_GB2312" w:hint="eastAsia"/>
          <w:color w:val="000000"/>
          <w:kern w:val="0"/>
          <w:sz w:val="32"/>
          <w:szCs w:val="32"/>
        </w:rPr>
        <w:t>加强施工期环境管理，减少施工对环境的影响。</w:t>
      </w:r>
    </w:p>
    <w:p>
      <w:pPr>
        <w:spacing w:line="540" w:lineRule="exact"/>
        <w:ind w:firstLineChars="200" w:firstLine="640"/>
        <w:rPr>
          <w:rFonts w:ascii="Times New Roman" w:eastAsia="仿宋" w:hAnsi="Times New Roman" w:hint="eastAsia"/>
          <w:sz w:val="32"/>
          <w:szCs w:val="32"/>
        </w:rPr>
      </w:pPr>
      <w:r>
        <w:rPr>
          <w:rFonts w:ascii="仿宋_GB2312" w:eastAsia="仿宋_GB2312" w:cs="仿宋_GB2312" w:hint="eastAsia"/>
          <w:color w:val="000000"/>
          <w:kern w:val="0"/>
          <w:sz w:val="32"/>
          <w:szCs w:val="32"/>
        </w:rPr>
        <w:t>1</w:t>
      </w:r>
      <w:r>
        <w:rPr>
          <w:rFonts w:ascii="仿宋_GB2312" w:eastAsia="仿宋_GB2312" w:cs="仿宋_GB2312" w:hint="eastAsia"/>
          <w:color w:val="000000"/>
          <w:kern w:val="0"/>
          <w:sz w:val="32"/>
          <w:szCs w:val="32"/>
          <w:lang w:val="en-US" w:eastAsia="zh-CN"/>
        </w:rPr>
        <w:t>.</w:t>
      </w:r>
      <w:r>
        <w:rPr>
          <w:rFonts w:ascii="仿宋_GB2312" w:eastAsia="仿宋_GB2312" w:cs="仿宋_GB2312"/>
          <w:color w:val="000000"/>
          <w:kern w:val="0"/>
          <w:sz w:val="32"/>
          <w:szCs w:val="32"/>
          <w:lang w:val="en-US" w:eastAsia="zh-CN"/>
        </w:rPr>
        <w:t>本</w:t>
      </w:r>
      <w:r>
        <w:rPr>
          <w:rFonts w:ascii="Times New Roman" w:eastAsia="仿宋" w:cs="Times New Roman" w:hAnsi="Times New Roman" w:hint="eastAsia"/>
          <w:sz w:val="32"/>
          <w:szCs w:val="32"/>
          <w:lang w:val="en-US" w:eastAsia="zh-CN"/>
        </w:rPr>
        <w:t>技改项目均在现有厂房内进行，对部分设备进行拆除并置换，项目不涉及土建工程，且厂房内均已硬化</w:t>
      </w:r>
      <w:r>
        <w:rPr>
          <w:rFonts w:ascii="仿宋_GB2312" w:eastAsia="仿宋_GB2312" w:cs="仿宋_GB2312" w:hint="eastAsia"/>
          <w:color w:val="000000"/>
          <w:kern w:val="0"/>
          <w:sz w:val="32"/>
          <w:szCs w:val="32"/>
        </w:rPr>
        <w:t>。</w:t>
      </w:r>
      <w:r>
        <w:rPr>
          <w:rFonts w:ascii="Times New Roman" w:eastAsia="仿宋" w:hAnsi="Times New Roman" w:hint="eastAsia"/>
          <w:sz w:val="32"/>
          <w:szCs w:val="32"/>
          <w:lang w:val="en-US" w:eastAsia="zh-CN"/>
        </w:rPr>
        <w:t>施工噪声仅为设备安装产生的噪声，属于间断性噪声，在厂房内部，厂界外50m范围无声环境敏感目标。施工噪声</w:t>
      </w:r>
      <w:r>
        <w:rPr>
          <w:rFonts w:ascii="Times New Roman" w:eastAsia="仿宋" w:hAnsi="Times New Roman"/>
          <w:sz w:val="32"/>
          <w:szCs w:val="32"/>
          <w:lang w:val="en-US" w:eastAsia="zh-CN"/>
        </w:rPr>
        <w:t>须</w:t>
      </w:r>
      <w:r>
        <w:rPr>
          <w:rFonts w:ascii="Times New Roman" w:eastAsia="仿宋" w:hAnsi="Times New Roman" w:hint="eastAsia"/>
          <w:sz w:val="32"/>
          <w:szCs w:val="32"/>
          <w:lang w:val="en-US" w:eastAsia="zh-CN"/>
        </w:rPr>
        <w:t>满足《建筑施工场界环境噪声排放标准》（GB12523-2011）要求</w:t>
      </w:r>
      <w:r>
        <w:rPr>
          <w:rFonts w:ascii="Times New Roman" w:eastAsia="仿宋" w:cs="Times New Roman" w:hAnsi="Times New Roman" w:hint="eastAsia"/>
          <w:sz w:val="32"/>
          <w:szCs w:val="32"/>
          <w:lang w:val="en-US" w:eastAsia="zh-CN"/>
        </w:rPr>
        <w:t>。施工中产生的固废主要是设备包装和施工人员生活垃圾</w:t>
      </w:r>
      <w:r>
        <w:rPr>
          <w:rFonts w:ascii="Times New Roman" w:eastAsia="仿宋" w:cs="Times New Roman" w:hAnsi="Times New Roman"/>
          <w:sz w:val="32"/>
          <w:szCs w:val="32"/>
          <w:lang w:val="en-US" w:eastAsia="zh-CN"/>
        </w:rPr>
        <w:t>。</w:t>
      </w:r>
      <w:r>
        <w:rPr>
          <w:rFonts w:ascii="Times New Roman" w:eastAsia="仿宋" w:cs="Times New Roman" w:hAnsi="Times New Roman" w:hint="eastAsia"/>
          <w:sz w:val="32"/>
          <w:szCs w:val="32"/>
          <w:lang w:val="en-US" w:eastAsia="zh-CN"/>
        </w:rPr>
        <w:t>设备包装材料收集后暂存于综合仓库内，定期外售或由原料销售厂家回收利用；施工生活垃圾收集后由环卫部门</w:t>
      </w:r>
      <w:r>
        <w:rPr>
          <w:rFonts w:ascii="Times New Roman" w:eastAsia="仿宋" w:cs="Times New Roman" w:hAnsi="Times New Roman"/>
          <w:sz w:val="32"/>
          <w:szCs w:val="32"/>
          <w:lang w:val="en-US" w:eastAsia="zh-CN"/>
        </w:rPr>
        <w:t>统一</w:t>
      </w:r>
      <w:r>
        <w:rPr>
          <w:rFonts w:ascii="Times New Roman" w:eastAsia="仿宋" w:cs="Times New Roman" w:hAnsi="Times New Roman" w:hint="eastAsia"/>
          <w:sz w:val="32"/>
          <w:szCs w:val="32"/>
          <w:lang w:val="en-US" w:eastAsia="zh-CN"/>
        </w:rPr>
        <w:t>处理。</w:t>
      </w:r>
    </w:p>
    <w:p>
      <w:pPr>
        <w:keepNext w:val="0"/>
        <w:keepLines w:val="0"/>
        <w:pageBreakBefore w:val="0"/>
        <w:widowControl w:val="0"/>
        <w:kinsoku/>
        <w:wordWrap/>
        <w:overflowPunct/>
        <w:topLinePunct w:val="0"/>
        <w:autoSpaceDE/>
        <w:autoSpaceDN/>
        <w:bidi w:val="0"/>
        <w:snapToGrid w:val="0"/>
        <w:spacing w:line="540" w:lineRule="exact"/>
        <w:ind w:righ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加强防腐防渗措施。按《报告表》要求进行相应的防腐防渗施工</w:t>
      </w:r>
      <w:r>
        <w:rPr>
          <w:rFonts w:ascii="仿宋_GB2312" w:eastAsia="仿宋_GB2312" w:cs="仿宋_GB2312"/>
          <w:color w:val="000000"/>
          <w:kern w:val="0"/>
          <w:sz w:val="32"/>
          <w:szCs w:val="32"/>
        </w:rPr>
        <w:t>，</w:t>
      </w:r>
      <w:r>
        <w:rPr>
          <w:rFonts w:ascii="Times New Roman" w:eastAsia="仿宋" w:hAnsi="Times New Roman" w:hint="eastAsia"/>
          <w:sz w:val="32"/>
          <w:szCs w:val="32"/>
        </w:rPr>
        <w:t>企业车间、原料库、危废间地面均</w:t>
      </w:r>
      <w:r>
        <w:rPr>
          <w:rFonts w:ascii="Times New Roman" w:eastAsia="仿宋" w:hAnsi="Times New Roman"/>
          <w:sz w:val="32"/>
          <w:szCs w:val="32"/>
        </w:rPr>
        <w:t>须</w:t>
      </w:r>
      <w:r>
        <w:rPr>
          <w:rFonts w:ascii="Times New Roman" w:eastAsia="仿宋" w:hAnsi="Times New Roman" w:hint="eastAsia"/>
          <w:sz w:val="32"/>
          <w:szCs w:val="32"/>
        </w:rPr>
        <w:t>防渗处理，排水管道均采取高耐腐蚀管道，危废间地面</w:t>
      </w:r>
      <w:r>
        <w:rPr>
          <w:rFonts w:ascii="Times New Roman" w:eastAsia="仿宋" w:hAnsi="Times New Roman"/>
          <w:sz w:val="32"/>
          <w:szCs w:val="32"/>
        </w:rPr>
        <w:t>须</w:t>
      </w:r>
      <w:r>
        <w:rPr>
          <w:rFonts w:ascii="Times New Roman" w:eastAsia="仿宋" w:hAnsi="Times New Roman" w:hint="eastAsia"/>
          <w:sz w:val="32"/>
          <w:szCs w:val="32"/>
        </w:rPr>
        <w:t>满足《危险废物贮存污染控制标准》(GB18597-2023)要求。</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Chars="200" w:firstLine="640"/>
        <w:textAlignment w:val="auto"/>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（二）加强运营期环保设施管理，认真落实各项污染防治措施，确保满足相关要求。</w:t>
      </w:r>
    </w:p>
    <w:p>
      <w:pPr>
        <w:numPr>
          <w:ilvl w:val="0"/>
          <w:numId w:val="1"/>
        </w:numPr>
        <w:spacing w:line="540" w:lineRule="exact"/>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严格落实大气污染防治措施。</w:t>
      </w:r>
    </w:p>
    <w:p>
      <w:pPr>
        <w:spacing w:line="540" w:lineRule="exact"/>
        <w:ind w:firstLineChars="200" w:firstLine="640"/>
        <w:jc w:val="both"/>
        <w:rPr>
          <w:rFonts w:ascii="Times New Roman" w:eastAsia="仿宋" w:cs="Times New Roman" w:hAnsi="Times New Roman"/>
          <w:sz w:val="32"/>
          <w:szCs w:val="32"/>
          <w:lang w:val="en-US" w:eastAsia="zh-CN"/>
        </w:rPr>
      </w:pPr>
      <w:r>
        <w:rPr>
          <w:rFonts w:ascii="Times New Roman" w:eastAsia="仿宋" w:cs="Times New Roman" w:hAnsi="Times New Roman"/>
          <w:sz w:val="32"/>
          <w:szCs w:val="32"/>
          <w:lang w:val="en-US" w:eastAsia="zh-CN"/>
        </w:rPr>
        <w:t>本项目有组织废气主要为天然气燃烧废气和扒渣废气。技改项目完成后兼用炉天然气使用量减少，产生的废气经1根17m排气筒DA099排放。天然气燃烧烟气中颗粒物、SO</w:t>
      </w:r>
      <w:r>
        <w:rPr>
          <w:rFonts w:ascii="Times New Roman" w:eastAsia="仿宋" w:cs="Times New Roman" w:hAnsi="Times New Roman"/>
          <w:sz w:val="32"/>
          <w:szCs w:val="32"/>
          <w:vertAlign w:val="subscript"/>
          <w:lang w:val="en-US" w:eastAsia="zh-CN"/>
        </w:rPr>
        <w:t>2</w:t>
      </w:r>
      <w:r>
        <w:rPr>
          <w:rFonts w:ascii="Times New Roman" w:eastAsia="仿宋" w:cs="Times New Roman" w:hAnsi="Times New Roman"/>
          <w:sz w:val="32"/>
          <w:szCs w:val="32"/>
          <w:lang w:val="en-US" w:eastAsia="zh-CN"/>
        </w:rPr>
        <w:t>、NO</w:t>
      </w:r>
      <w:r>
        <w:rPr>
          <w:rFonts w:ascii="Times New Roman" w:eastAsia="仿宋" w:cs="Times New Roman" w:hAnsi="Times New Roman"/>
          <w:sz w:val="32"/>
          <w:szCs w:val="32"/>
          <w:vertAlign w:val="subscript"/>
          <w:lang w:val="en-US" w:eastAsia="zh-CN"/>
        </w:rPr>
        <w:t>x</w:t>
      </w:r>
      <w:r>
        <w:rPr>
          <w:rFonts w:ascii="Times New Roman" w:eastAsia="仿宋" w:cs="Times New Roman" w:hAnsi="Times New Roman"/>
          <w:sz w:val="32"/>
          <w:szCs w:val="32"/>
          <w:lang w:val="en-US" w:eastAsia="zh-CN"/>
        </w:rPr>
        <w:t>排放浓度须达到《铸造工业大气污染物排放标准》(GB39726-2020)限值要求，同时满足《秦皇岛市人民政府关于秦皇岛市“三线一单”生态环境分区管控的实施意见》（秦政字[2021]6号）限值要求。即颗粒物≤30mg/m³，SO</w:t>
      </w:r>
      <w:r>
        <w:rPr>
          <w:rFonts w:ascii="Times New Roman" w:eastAsia="仿宋" w:cs="Times New Roman" w:hAnsi="Times New Roman"/>
          <w:sz w:val="32"/>
          <w:szCs w:val="32"/>
          <w:vertAlign w:val="subscript"/>
          <w:lang w:val="en-US" w:eastAsia="zh-CN"/>
        </w:rPr>
        <w:t>2</w:t>
      </w:r>
      <w:r>
        <w:rPr>
          <w:rFonts w:ascii="Times New Roman" w:eastAsia="仿宋" w:cs="Times New Roman" w:hAnsi="Times New Roman"/>
          <w:sz w:val="32"/>
          <w:szCs w:val="32"/>
          <w:lang w:val="en-US" w:eastAsia="zh-CN"/>
        </w:rPr>
        <w:t>≤100mg/m³，NO</w:t>
      </w:r>
      <w:r>
        <w:rPr>
          <w:rFonts w:ascii="Times New Roman" w:eastAsia="仿宋" w:cs="Times New Roman" w:hAnsi="Times New Roman"/>
          <w:sz w:val="32"/>
          <w:szCs w:val="32"/>
          <w:vertAlign w:val="subscript"/>
          <w:lang w:val="en-US" w:eastAsia="zh-CN"/>
        </w:rPr>
        <w:t>X</w:t>
      </w:r>
      <w:r>
        <w:rPr>
          <w:rFonts w:ascii="Times New Roman" w:eastAsia="仿宋" w:cs="Times New Roman" w:hAnsi="Times New Roman"/>
          <w:sz w:val="32"/>
          <w:szCs w:val="32"/>
          <w:lang w:val="en-US" w:eastAsia="zh-CN"/>
        </w:rPr>
        <w:t>≤300mg/m³。同时满足《重污染天气重点行业应急减排措施制定技术指南（2021年修订版）》中铸造B级绩效排放限值。</w:t>
      </w:r>
      <w:bookmarkStart w:id="1" w:name="_Hlk139697516"/>
      <w:r>
        <w:rPr>
          <w:rFonts w:ascii="Times New Roman" w:eastAsia="仿宋" w:cs="Times New Roman" w:hAnsi="Times New Roman"/>
          <w:sz w:val="32"/>
          <w:szCs w:val="32"/>
          <w:lang w:val="en-US" w:eastAsia="zh-CN"/>
        </w:rPr>
        <w:t>技改前后扒渣工序产能不发生变化。污染物排放量不发生变化。</w:t>
      </w:r>
      <w:bookmarkEnd w:id="1"/>
    </w:p>
    <w:p>
      <w:pPr>
        <w:keepNext w:val="0"/>
        <w:keepLines w:val="0"/>
        <w:pageBreakBefore w:val="0"/>
        <w:widowControl w:val="0"/>
        <w:kinsoku/>
        <w:wordWrap/>
        <w:overflowPunct/>
        <w:topLinePunct w:val="0"/>
        <w:autoSpaceDE/>
        <w:autoSpaceDN/>
        <w:adjustRightInd/>
        <w:snapToGrid/>
        <w:spacing w:line="540" w:lineRule="exact"/>
        <w:ind w:firstLineChars="200" w:firstLine="640"/>
        <w:rPr>
          <w:rFonts w:ascii="Times New Roman" w:eastAsia="仿宋" w:hAnsi="Times New Roman" w:hint="eastAsia"/>
          <w:sz w:val="32"/>
          <w:szCs w:val="32"/>
        </w:rPr>
      </w:pPr>
      <w:r>
        <w:rPr>
          <w:rFonts w:ascii="仿宋_GB2312" w:eastAsia="仿宋_GB2312" w:cs="仿宋_GB2312" w:hint="eastAsia"/>
          <w:color w:val="000000"/>
          <w:kern w:val="0"/>
          <w:sz w:val="32"/>
          <w:szCs w:val="32"/>
        </w:rPr>
        <w:t>2</w:t>
      </w:r>
      <w:r>
        <w:rPr>
          <w:rFonts w:ascii="仿宋_GB2312" w:eastAsia="仿宋_GB2312" w:cs="仿宋_GB2312" w:hint="eastAsia"/>
          <w:color w:val="000000"/>
          <w:kern w:val="0"/>
          <w:sz w:val="32"/>
          <w:szCs w:val="32"/>
          <w:lang w:val="en-US" w:eastAsia="zh-CN"/>
        </w:rPr>
        <w:t>.</w:t>
      </w:r>
      <w:r>
        <w:rPr>
          <w:rFonts w:ascii="仿宋_GB2312" w:eastAsia="仿宋_GB2312" w:cs="仿宋_GB2312" w:hint="eastAsia"/>
          <w:color w:val="000000"/>
          <w:kern w:val="0"/>
          <w:sz w:val="32"/>
          <w:szCs w:val="32"/>
        </w:rPr>
        <w:t>严格落实各项废水污染防治措施，</w:t>
      </w:r>
      <w:r>
        <w:rPr>
          <w:rFonts w:ascii="仿宋_GB2312" w:eastAsia="仿宋_GB2312" w:cs="仿宋_GB2312" w:hint="eastAsia"/>
          <w:color w:val="000000"/>
          <w:kern w:val="0"/>
          <w:sz w:val="32"/>
          <w:szCs w:val="32"/>
          <w:lang w:val="en-US" w:eastAsia="zh-CN"/>
        </w:rPr>
        <w:t>防止废水渗漏污染地下水、土壤。</w:t>
      </w:r>
      <w:r>
        <w:rPr>
          <w:rFonts w:ascii="仿宋_GB2312" w:eastAsia="仿宋_GB2312" w:cs="仿宋_GB2312" w:hint="eastAsia"/>
          <w:bCs/>
          <w:color w:val="000000"/>
          <w:kern w:val="0"/>
          <w:sz w:val="32"/>
          <w:szCs w:val="32"/>
        </w:rPr>
        <w:t>该</w:t>
      </w:r>
      <w:r>
        <w:rPr>
          <w:rFonts w:ascii="Times New Roman" w:eastAsia="仿宋" w:hAnsi="Times New Roman" w:hint="eastAsia"/>
          <w:color w:val="auto"/>
          <w:sz w:val="32"/>
          <w:szCs w:val="32"/>
          <w:highlight w:val="auto"/>
        </w:rPr>
        <w:t>技改项目无新增用水与排水</w:t>
      </w:r>
      <w:r>
        <w:rPr>
          <w:rFonts w:ascii="Times New Roman" w:eastAsia="仿宋" w:hAnsi="Times New Roman"/>
          <w:color w:val="auto"/>
          <w:sz w:val="32"/>
          <w:szCs w:val="32"/>
          <w:highlight w:val="auto"/>
        </w:rPr>
        <w:t>，厂区有较完善的排水管网，采用雨污分流制。</w:t>
      </w:r>
      <w:r>
        <w:rPr>
          <w:rFonts w:ascii="Times New Roman" w:eastAsia="仿宋" w:hAnsi="Times New Roman" w:hint="eastAsia"/>
          <w:color w:val="auto"/>
          <w:sz w:val="32"/>
          <w:szCs w:val="32"/>
          <w:highlight w:val="auto"/>
        </w:rPr>
        <w:t>企业现有工程污水包括</w:t>
      </w:r>
      <w:r>
        <w:rPr>
          <w:rFonts w:ascii="Times New Roman" w:eastAsia="仿宋" w:hAnsi="Times New Roman"/>
          <w:color w:val="auto"/>
          <w:sz w:val="32"/>
          <w:szCs w:val="32"/>
          <w:highlight w:val="auto"/>
        </w:rPr>
        <w:t>循环冷却系统排污；铸旋荧光检测渗透液清洗排水；去离子水制备浓排水；涂装前处理清洗排水；喷涂喷漆废气水旋处理设备排水；机加清洗排水；锅炉排污水；光整车间排水；机加废乳化液和生活污水</w:t>
      </w:r>
      <w:r>
        <w:rPr>
          <w:rFonts w:ascii="Times New Roman" w:eastAsia="仿宋" w:hAnsi="Times New Roman" w:hint="eastAsia"/>
          <w:color w:val="auto"/>
          <w:sz w:val="32"/>
          <w:szCs w:val="32"/>
          <w:highlight w:val="auto"/>
        </w:rPr>
        <w:t>。</w:t>
      </w:r>
      <w:r>
        <w:rPr>
          <w:rFonts w:ascii="Times New Roman" w:eastAsia="仿宋" w:hAnsi="Times New Roman"/>
          <w:color w:val="auto"/>
          <w:sz w:val="32"/>
          <w:szCs w:val="32"/>
          <w:highlight w:val="auto"/>
        </w:rPr>
        <w:t>最终</w:t>
      </w:r>
      <w:r>
        <w:rPr>
          <w:rFonts w:ascii="Times New Roman" w:eastAsia="仿宋" w:hAnsi="Times New Roman" w:hint="eastAsia"/>
          <w:color w:val="auto"/>
          <w:sz w:val="32"/>
          <w:szCs w:val="32"/>
          <w:highlight w:val="auto"/>
        </w:rPr>
        <w:t>所有</w:t>
      </w:r>
      <w:r>
        <w:rPr>
          <w:rFonts w:ascii="Times New Roman" w:eastAsia="仿宋" w:hAnsi="Times New Roman"/>
          <w:color w:val="auto"/>
          <w:sz w:val="32"/>
          <w:szCs w:val="32"/>
          <w:highlight w:val="auto"/>
        </w:rPr>
        <w:t>污水经市政污水管网进污水处理厂处理</w:t>
      </w:r>
      <w:r>
        <w:rPr>
          <w:rFonts w:ascii="仿宋_GB2312" w:eastAsia="仿宋_GB2312" w:cs="仿宋_GB2312" w:hint="eastAsia"/>
          <w:bCs/>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Chars="200" w:firstLine="640"/>
        <w:textAlignment w:val="auto"/>
        <w:outlineLvl w:val="0"/>
        <w:rPr>
          <w:rFonts w:ascii="仿宋_GB2312" w:eastAsia="仿宋_GB2312" w:cs="仿宋_GB2312" w:hint="eastAsia"/>
          <w:bCs/>
          <w:color w:val="000000"/>
          <w:kern w:val="0"/>
          <w:sz w:val="32"/>
          <w:szCs w:val="32"/>
        </w:rPr>
      </w:pPr>
      <w:r>
        <w:rPr>
          <w:rFonts w:ascii="仿宋_GB2312" w:eastAsia="仿宋_GB2312" w:cs="仿宋_GB2312" w:hint="eastAsia"/>
          <w:color w:val="000000"/>
          <w:kern w:val="0"/>
          <w:sz w:val="32"/>
          <w:szCs w:val="32"/>
          <w:lang w:val="en-US"/>
        </w:rPr>
        <w:t>3</w:t>
      </w:r>
      <w:r>
        <w:rPr>
          <w:rFonts w:ascii="仿宋_GB2312" w:eastAsia="仿宋_GB2312" w:cs="仿宋_GB2312" w:hint="eastAsia"/>
          <w:bCs/>
          <w:color w:val="000000"/>
          <w:kern w:val="0"/>
          <w:sz w:val="32"/>
          <w:szCs w:val="32"/>
          <w:lang w:val="en-US"/>
        </w:rPr>
        <w:t>.</w:t>
      </w:r>
      <w:r>
        <w:rPr>
          <w:rFonts w:ascii="仿宋_GB2312" w:eastAsia="仿宋_GB2312" w:cs="仿宋_GB2312" w:hint="eastAsia"/>
          <w:bCs/>
          <w:color w:val="000000"/>
          <w:kern w:val="0"/>
          <w:sz w:val="32"/>
          <w:szCs w:val="32"/>
        </w:rPr>
        <w:t>严格落实噪声污染防治措施</w:t>
      </w:r>
      <w:r>
        <w:rPr>
          <w:rFonts w:ascii="仿宋_GB2312" w:eastAsia="仿宋_GB2312" w:cs="仿宋_GB2312"/>
          <w:bCs/>
          <w:color w:val="000000"/>
          <w:kern w:val="0"/>
          <w:sz w:val="32"/>
          <w:szCs w:val="32"/>
        </w:rPr>
        <w:t>。</w:t>
      </w:r>
    </w:p>
    <w:p>
      <w:pPr>
        <w:spacing w:line="540" w:lineRule="exact"/>
        <w:ind w:firstLineChars="200" w:firstLine="640"/>
        <w:rPr>
          <w:rFonts w:ascii="Times New Roman" w:eastAsia="仿宋" w:cs="Times New Roman" w:hAnsi="Times New Roman" w:hint="eastAsia"/>
          <w:sz w:val="32"/>
          <w:szCs w:val="32"/>
        </w:rPr>
      </w:pPr>
      <w:r>
        <w:rPr>
          <w:rFonts w:ascii="仿宋_GB2312" w:eastAsia="仿宋_GB2312" w:cs="仿宋_GB2312"/>
          <w:bCs/>
          <w:color w:val="000000"/>
          <w:kern w:val="0"/>
          <w:sz w:val="32"/>
          <w:szCs w:val="32"/>
        </w:rPr>
        <w:t>该</w:t>
      </w:r>
      <w:r>
        <w:rPr>
          <w:rFonts w:ascii="仿宋_GB2312" w:eastAsia="仿宋_GB2312" w:cs="仿宋_GB2312" w:hint="eastAsia"/>
          <w:bCs/>
          <w:color w:val="000000"/>
          <w:kern w:val="0"/>
          <w:sz w:val="32"/>
          <w:szCs w:val="32"/>
        </w:rPr>
        <w:t>项目</w:t>
      </w:r>
      <w:r>
        <w:rPr>
          <w:rFonts w:ascii="Times New Roman" w:eastAsia="仿宋" w:cs="Times New Roman" w:hAnsi="Times New Roman" w:hint="eastAsia"/>
          <w:sz w:val="32"/>
          <w:szCs w:val="32"/>
          <w:lang w:val="en-US" w:eastAsia="zh-CN"/>
        </w:rPr>
        <w:t>噪声源主要为兼用炉、双工位柔性锯等设备，安装减振基础，经厂房隔声降噪，厂界噪声</w:t>
      </w:r>
      <w:r>
        <w:rPr>
          <w:rFonts w:ascii="Times New Roman" w:eastAsia="仿宋" w:cs="Times New Roman" w:hAnsi="Times New Roman"/>
          <w:sz w:val="32"/>
          <w:szCs w:val="32"/>
          <w:lang w:val="en-US" w:eastAsia="zh-CN"/>
        </w:rPr>
        <w:t>须</w:t>
      </w:r>
      <w:r>
        <w:rPr>
          <w:rFonts w:ascii="Times New Roman" w:eastAsia="仿宋" w:cs="Times New Roman" w:hAnsi="Times New Roman" w:hint="eastAsia"/>
          <w:sz w:val="32"/>
          <w:szCs w:val="32"/>
          <w:lang w:val="en-US" w:eastAsia="zh-CN"/>
        </w:rPr>
        <w:t>满足《工业企业厂界环境噪声排放标准》（GB12348-2008）3类、4类（</w:t>
      </w:r>
      <w:r>
        <w:rPr>
          <w:rFonts w:ascii="Times New Roman" w:eastAsia="仿宋" w:cs="Times New Roman" w:hAnsi="Times New Roman"/>
          <w:sz w:val="32"/>
          <w:szCs w:val="32"/>
          <w:lang w:val="en-US" w:eastAsia="zh-CN"/>
        </w:rPr>
        <w:t>东厂界</w:t>
      </w:r>
      <w:r>
        <w:rPr>
          <w:rFonts w:ascii="Times New Roman" w:eastAsia="仿宋" w:cs="Times New Roman" w:hAnsi="Times New Roman" w:hint="eastAsia"/>
          <w:sz w:val="32"/>
          <w:szCs w:val="32"/>
          <w:lang w:val="en-US" w:eastAsia="zh-CN"/>
        </w:rPr>
        <w:t>）标准</w:t>
      </w:r>
      <w:r>
        <w:rPr>
          <w:rFonts w:ascii="仿宋_GB2312" w:eastAsia="仿宋_GB2312" w:cs="仿宋_GB2312" w:hint="eastAsia"/>
          <w:bCs/>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Chars="200" w:firstLine="640"/>
        <w:textAlignment w:val="auto"/>
        <w:outlineLvl w:val="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lang w:val="en-US" w:eastAsia="zh-CN"/>
        </w:rPr>
        <w:t>4.</w:t>
      </w:r>
      <w:r>
        <w:rPr>
          <w:rFonts w:ascii="仿宋_GB2312" w:eastAsia="仿宋_GB2312" w:cs="仿宋_GB2312" w:hint="eastAsia"/>
          <w:bCs/>
          <w:color w:val="000000"/>
          <w:kern w:val="0"/>
          <w:sz w:val="32"/>
          <w:szCs w:val="32"/>
        </w:rPr>
        <w:t>严格落实固体废物污染防治措施</w:t>
      </w:r>
      <w:r>
        <w:rPr>
          <w:rFonts w:ascii="仿宋_GB2312" w:eastAsia="仿宋_GB2312" w:cs="仿宋_GB2312"/>
          <w:bCs/>
          <w:color w:val="000000"/>
          <w:kern w:val="0"/>
          <w:sz w:val="32"/>
          <w:szCs w:val="32"/>
        </w:rPr>
        <w:t>。</w:t>
      </w:r>
    </w:p>
    <w:p>
      <w:pPr>
        <w:spacing w:line="54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企业要严格落实固体废物分类处置和综合利用措施，认真落实《报告表》规定的固体废物处理、处置措施。按照“资源化、减量化、无害化”的固废处置原则，实现综合利用。该项目</w:t>
      </w:r>
      <w:r>
        <w:rPr>
          <w:rFonts w:ascii="仿宋_GB2312" w:eastAsia="仿宋_GB2312" w:cs="仿宋_GB2312"/>
          <w:bCs/>
          <w:color w:val="000000"/>
          <w:kern w:val="0"/>
          <w:sz w:val="32"/>
          <w:szCs w:val="32"/>
        </w:rPr>
        <w:t>产生</w:t>
      </w:r>
      <w:r>
        <w:rPr>
          <w:rFonts w:ascii="Times New Roman" w:eastAsia="仿宋" w:cs="Times New Roman" w:hAnsi="Times New Roman" w:hint="eastAsia"/>
          <w:color w:val="auto"/>
          <w:sz w:val="32"/>
          <w:szCs w:val="32"/>
          <w:lang w:val="en-US" w:eastAsia="zh-CN"/>
        </w:rPr>
        <w:t>铝锭包装箱、清渣剂包装袋</w:t>
      </w:r>
      <w:r>
        <w:rPr>
          <w:rFonts w:ascii="Times New Roman" w:eastAsia="仿宋" w:cs="Times New Roman" w:hAnsi="Times New Roman"/>
          <w:color w:val="auto"/>
          <w:sz w:val="32"/>
          <w:szCs w:val="32"/>
          <w:lang w:val="en-US" w:eastAsia="zh-CN"/>
        </w:rPr>
        <w:t>、</w:t>
      </w:r>
      <w:r>
        <w:rPr>
          <w:rFonts w:ascii="Times New Roman" w:eastAsia="仿宋" w:cs="Times New Roman" w:hAnsi="Times New Roman" w:hint="eastAsia"/>
          <w:color w:val="auto"/>
          <w:sz w:val="32"/>
          <w:szCs w:val="32"/>
          <w:lang w:val="en-US" w:eastAsia="zh-CN"/>
        </w:rPr>
        <w:t>铝屑</w:t>
      </w:r>
      <w:r>
        <w:rPr>
          <w:rFonts w:ascii="Times New Roman" w:eastAsia="仿宋" w:cs="Times New Roman" w:hAnsi="Times New Roman"/>
          <w:color w:val="auto"/>
          <w:sz w:val="32"/>
          <w:szCs w:val="32"/>
          <w:lang w:val="en-US" w:eastAsia="zh-CN"/>
        </w:rPr>
        <w:t>、</w:t>
      </w:r>
      <w:r>
        <w:rPr>
          <w:rFonts w:ascii="Times New Roman" w:eastAsia="仿宋" w:cs="Times New Roman" w:hAnsi="Times New Roman" w:hint="eastAsia"/>
          <w:color w:val="auto"/>
          <w:sz w:val="32"/>
          <w:szCs w:val="32"/>
          <w:lang w:val="en-US" w:eastAsia="zh-CN"/>
        </w:rPr>
        <w:t>铝渣、除尘灰、废布袋等</w:t>
      </w:r>
      <w:r>
        <w:rPr>
          <w:rFonts w:ascii="Times New Roman" w:eastAsia="仿宋" w:cs="Times New Roman" w:hAnsi="Times New Roman"/>
          <w:color w:val="auto"/>
          <w:sz w:val="32"/>
          <w:szCs w:val="32"/>
          <w:lang w:val="en-US" w:eastAsia="zh-CN"/>
        </w:rPr>
        <w:t>固体废物。</w:t>
      </w:r>
      <w:r>
        <w:rPr>
          <w:rFonts w:ascii="Times New Roman" w:eastAsia="仿宋" w:cs="Times New Roman" w:hAnsi="Times New Roman" w:hint="eastAsia"/>
          <w:color w:val="auto"/>
          <w:sz w:val="32"/>
          <w:szCs w:val="32"/>
          <w:lang w:val="en-US" w:eastAsia="zh-CN"/>
        </w:rPr>
        <w:t>铝锭包装箱、清渣剂包装袋</w:t>
      </w:r>
      <w:r>
        <w:rPr>
          <w:rFonts w:ascii="Times New Roman" w:eastAsia="仿宋" w:cs="Times New Roman" w:hAnsi="Times New Roman"/>
          <w:color w:val="auto"/>
          <w:sz w:val="32"/>
          <w:szCs w:val="32"/>
          <w:lang w:val="en-US" w:eastAsia="zh-CN"/>
        </w:rPr>
        <w:t>收集</w:t>
      </w:r>
      <w:r>
        <w:rPr>
          <w:rFonts w:ascii="Times New Roman" w:eastAsia="仿宋" w:cs="Times New Roman" w:hAnsi="Times New Roman" w:hint="eastAsia"/>
          <w:color w:val="auto"/>
          <w:sz w:val="32"/>
          <w:szCs w:val="32"/>
          <w:lang w:val="en-US" w:eastAsia="zh-CN"/>
        </w:rPr>
        <w:t>定期外售利用</w:t>
      </w:r>
      <w:r>
        <w:rPr>
          <w:rFonts w:ascii="Times New Roman" w:eastAsia="仿宋" w:cs="Times New Roman" w:hAnsi="Times New Roman"/>
          <w:color w:val="auto"/>
          <w:sz w:val="32"/>
          <w:szCs w:val="32"/>
          <w:lang w:val="en-US" w:eastAsia="zh-CN"/>
        </w:rPr>
        <w:t>；</w:t>
      </w:r>
      <w:r>
        <w:rPr>
          <w:rFonts w:ascii="Times New Roman" w:eastAsia="仿宋" w:cs="Times New Roman" w:hAnsi="Times New Roman" w:hint="eastAsia"/>
          <w:color w:val="auto"/>
          <w:sz w:val="32"/>
          <w:szCs w:val="32"/>
          <w:lang w:val="en-US" w:eastAsia="zh-CN"/>
        </w:rPr>
        <w:t>铝屑回用于熔炼工序</w:t>
      </w:r>
      <w:r>
        <w:rPr>
          <w:rFonts w:ascii="Times New Roman" w:eastAsia="仿宋" w:cs="Times New Roman" w:hAnsi="Times New Roman"/>
          <w:color w:val="auto"/>
          <w:sz w:val="32"/>
          <w:szCs w:val="32"/>
          <w:lang w:val="en-US" w:eastAsia="zh-CN"/>
        </w:rPr>
        <w:t>；</w:t>
      </w:r>
      <w:r>
        <w:rPr>
          <w:rFonts w:ascii="Times New Roman" w:eastAsia="仿宋" w:cs="Times New Roman" w:hAnsi="Times New Roman" w:hint="eastAsia"/>
          <w:color w:val="auto"/>
          <w:sz w:val="32"/>
          <w:szCs w:val="32"/>
          <w:lang w:val="en-US" w:eastAsia="zh-CN"/>
        </w:rPr>
        <w:t>铝渣、除尘灰、废布袋</w:t>
      </w:r>
      <w:r>
        <w:rPr>
          <w:rFonts w:ascii="Times New Roman" w:eastAsia="仿宋" w:cs="Times New Roman" w:hAnsi="Times New Roman"/>
          <w:sz w:val="32"/>
          <w:szCs w:val="32"/>
          <w:lang w:val="en-US" w:eastAsia="zh-CN"/>
        </w:rPr>
        <w:t>为危险废物，</w:t>
      </w:r>
      <w:r>
        <w:rPr>
          <w:rFonts w:ascii="Times New Roman" w:eastAsia="仿宋" w:cs="Times New Roman" w:hAnsi="Times New Roman" w:hint="eastAsia"/>
          <w:color w:val="auto"/>
          <w:sz w:val="32"/>
          <w:szCs w:val="32"/>
          <w:lang w:val="en-US" w:eastAsia="zh-CN"/>
        </w:rPr>
        <w:t>铝渣、除尘灰</w:t>
      </w:r>
      <w:r>
        <w:rPr>
          <w:rFonts w:ascii="Times New Roman" w:eastAsia="仿宋" w:cs="Times New Roman" w:hAnsi="Times New Roman"/>
          <w:color w:val="auto"/>
          <w:sz w:val="32"/>
          <w:szCs w:val="32"/>
          <w:lang w:val="en-US" w:eastAsia="zh-CN"/>
        </w:rPr>
        <w:t>放置</w:t>
      </w:r>
      <w:r>
        <w:rPr>
          <w:rFonts w:ascii="Times New Roman" w:eastAsia="仿宋" w:cs="Times New Roman" w:hAnsi="Times New Roman" w:hint="eastAsia"/>
          <w:color w:val="auto"/>
          <w:sz w:val="32"/>
          <w:szCs w:val="32"/>
          <w:lang w:val="en-US" w:eastAsia="zh-CN"/>
        </w:rPr>
        <w:t>铝灰库内暂存，废布袋危废间内暂存，定期委托资质单位处置。</w:t>
      </w:r>
      <w:r>
        <w:rPr>
          <w:rFonts w:ascii="仿宋_GB2312" w:eastAsia="仿宋_GB2312" w:cs="仿宋_GB2312" w:hint="eastAsia"/>
          <w:bCs/>
          <w:color w:val="000000"/>
          <w:kern w:val="0"/>
          <w:sz w:val="32"/>
          <w:szCs w:val="32"/>
        </w:rPr>
        <w:t>危险废物贮存库须达到《危险废物贮存污染控制标准》（GB 18597-2023）要求，且满足本项目产生的危险废物暂存需求。</w:t>
      </w:r>
    </w:p>
    <w:p>
      <w:pPr>
        <w:keepNext w:val="0"/>
        <w:keepLines w:val="0"/>
        <w:pageBreakBefore w:val="0"/>
        <w:widowControl w:val="0"/>
        <w:kinsoku/>
        <w:wordWrap/>
        <w:overflowPunct/>
        <w:topLinePunct w:val="0"/>
        <w:autoSpaceDE/>
        <w:autoSpaceDN/>
        <w:snapToGrid w:val="0"/>
        <w:spacing w:line="54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lang w:val="en-US" w:eastAsia="zh-CN"/>
        </w:rPr>
        <w:t>5.</w:t>
      </w:r>
      <w:r>
        <w:rPr>
          <w:rFonts w:ascii="仿宋_GB2312" w:eastAsia="仿宋_GB2312" w:cs="仿宋_GB2312" w:hint="eastAsia"/>
          <w:bCs/>
          <w:color w:val="000000"/>
          <w:kern w:val="0"/>
          <w:sz w:val="32"/>
          <w:szCs w:val="32"/>
        </w:rPr>
        <w:t>认真落实《报告表》其他环境管理要求。</w:t>
      </w:r>
    </w:p>
    <w:p>
      <w:pPr>
        <w:spacing w:line="54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lang w:eastAsia="zh-CN"/>
        </w:rPr>
        <w:t>三、</w:t>
      </w:r>
      <w:r>
        <w:rPr>
          <w:rFonts w:ascii="仿宋_GB2312" w:eastAsia="仿宋_GB2312" w:cs="仿宋_GB2312" w:hint="eastAsia"/>
          <w:bCs/>
          <w:color w:val="000000"/>
          <w:kern w:val="0"/>
          <w:sz w:val="32"/>
          <w:szCs w:val="32"/>
        </w:rPr>
        <w:t>强化环境风险防范和应急措施。应及时完善环境管理、风险管理措施，严格按照应急预案要求配备应急物资、应急人员等，加强风险源管控，</w:t>
      </w:r>
      <w:r>
        <w:rPr>
          <w:rFonts w:ascii="Times New Roman" w:eastAsia="仿宋" w:hAnsi="Times New Roman" w:hint="eastAsia"/>
          <w:color w:val="auto"/>
          <w:sz w:val="32"/>
          <w:szCs w:val="32"/>
          <w:highlight w:val="auto"/>
        </w:rPr>
        <w:t>须严格落实环评提出的各项环境风险防范措施，严格执行安全操作规程，实行科学管理</w:t>
      </w:r>
      <w:r>
        <w:rPr>
          <w:rFonts w:ascii="仿宋_GB2312" w:eastAsia="仿宋_GB2312" w:cs="仿宋_GB2312" w:hint="eastAsia"/>
          <w:bCs/>
          <w:color w:val="000000"/>
          <w:kern w:val="0"/>
          <w:sz w:val="32"/>
          <w:szCs w:val="32"/>
        </w:rPr>
        <w:t>，及时修订突发环境事件应急预案、备案，并与当地政府及相关部门应急预案做好衔接，定期加强应急培训和演练，有效防范和应对环境风险。</w:t>
      </w:r>
    </w:p>
    <w:p>
      <w:pPr>
        <w:keepNext w:val="0"/>
        <w:keepLines w:val="0"/>
        <w:pageBreakBefore w:val="0"/>
        <w:widowControl w:val="0"/>
        <w:kinsoku/>
        <w:wordWrap/>
        <w:overflowPunct/>
        <w:topLinePunct w:val="0"/>
        <w:autoSpaceDE/>
        <w:autoSpaceDN/>
        <w:bidi w:val="0"/>
        <w:adjustRightInd w:val="0"/>
        <w:snapToGrid w:val="0"/>
        <w:spacing w:line="540" w:lineRule="exact"/>
        <w:ind w:left="0" w:right="0" w:firstLineChars="200" w:firstLine="640"/>
        <w:textAlignment w:val="auto"/>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lang w:eastAsia="zh-CN"/>
        </w:rPr>
        <w:t>四、</w:t>
      </w:r>
      <w:r>
        <w:rPr>
          <w:rFonts w:ascii="仿宋_GB2312" w:eastAsia="仿宋_GB2312" w:cs="仿宋_GB2312" w:hint="eastAsia"/>
          <w:bCs/>
          <w:color w:val="000000"/>
          <w:kern w:val="0"/>
          <w:sz w:val="32"/>
          <w:szCs w:val="32"/>
        </w:rPr>
        <w:t xml:space="preserve">认真落实《报告表》中规定的污染防治措施及清洁生产措施，项目实施后，企业须按照国家排污许可有关管理规定及时重申排污许可证。 </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Chars="200" w:firstLine="640"/>
        <w:textAlignment w:val="auto"/>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五、在项目运营过程中，应建立畅通的公众参与平台，及时解决公众关注的环境问题，满足公众合理的环境诉求。定期发布企业环境信息，主动接受社会监督。</w:t>
      </w:r>
    </w:p>
    <w:p>
      <w:pPr>
        <w:keepNext w:val="0"/>
        <w:keepLines w:val="0"/>
        <w:pageBreakBefore w:val="0"/>
        <w:widowControl w:val="0"/>
        <w:kinsoku/>
        <w:wordWrap/>
        <w:overflowPunct/>
        <w:topLinePunct w:val="0"/>
        <w:autoSpaceDE/>
        <w:autoSpaceDN/>
        <w:bidi w:val="0"/>
        <w:snapToGrid w:val="0"/>
        <w:spacing w:line="540" w:lineRule="exact"/>
        <w:ind w:right="0" w:firstLineChars="200" w:firstLine="640"/>
        <w:textAlignment w:val="auto"/>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六、进一步强化污染源管理工作。按照国家和地方有关规定，建设规范的污染物排放口，设立标志牌。对《报告表》要求的监测内容定期开展监测，企业应按照环境监测管理规定和技术规范的要求，设计、建设、维护永久性采样口、采样测试平台。</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Chars="200" w:firstLine="640"/>
        <w:textAlignment w:val="auto"/>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该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val="0"/>
        <w:snapToGrid w:val="0"/>
        <w:spacing w:line="540" w:lineRule="exact"/>
        <w:ind w:right="0" w:firstLineChars="200" w:firstLine="640"/>
        <w:textAlignment w:val="auto"/>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八、你单位在接到本批复后的10个工作日内，须将环评报告表及其批复送秦皇岛市生态环境局经济技术开发区</w:t>
      </w:r>
      <w:r>
        <w:rPr>
          <w:rFonts w:ascii="仿宋_GB2312" w:eastAsia="仿宋_GB2312" w:cs="仿宋_GB2312" w:hint="eastAsia"/>
          <w:bCs/>
          <w:color w:val="000000"/>
          <w:kern w:val="0"/>
          <w:sz w:val="32"/>
          <w:szCs w:val="32"/>
          <w:lang w:eastAsia="zh-CN"/>
        </w:rPr>
        <w:t>分局</w:t>
      </w:r>
      <w:r>
        <w:rPr>
          <w:rFonts w:ascii="仿宋_GB2312" w:eastAsia="仿宋_GB2312" w:cs="仿宋_GB2312" w:hint="eastAsia"/>
          <w:bCs/>
          <w:color w:val="000000"/>
          <w:kern w:val="0"/>
          <w:sz w:val="32"/>
          <w:szCs w:val="32"/>
        </w:rPr>
        <w:t>、资规局等相关部门，日常监督管理由秦皇岛市生态环境局经济技术开发区</w:t>
      </w:r>
      <w:r>
        <w:rPr>
          <w:rFonts w:ascii="仿宋_GB2312" w:eastAsia="仿宋_GB2312" w:cs="仿宋_GB2312" w:hint="eastAsia"/>
          <w:bCs/>
          <w:color w:val="000000"/>
          <w:kern w:val="0"/>
          <w:sz w:val="32"/>
          <w:szCs w:val="32"/>
          <w:lang w:eastAsia="zh-CN"/>
        </w:rPr>
        <w:t>分局</w:t>
      </w:r>
      <w:r>
        <w:rPr>
          <w:rFonts w:ascii="仿宋_GB2312" w:eastAsia="仿宋_GB2312" w:cs="仿宋_GB2312" w:hint="eastAsia"/>
          <w:bCs/>
          <w:color w:val="000000"/>
          <w:kern w:val="0"/>
          <w:sz w:val="32"/>
          <w:szCs w:val="32"/>
        </w:rPr>
        <w:t>负责。建设单位须定期向秦皇岛市生态环境局经济技术开发区</w:t>
      </w:r>
      <w:r>
        <w:rPr>
          <w:rFonts w:ascii="仿宋_GB2312" w:eastAsia="仿宋_GB2312" w:cs="仿宋_GB2312" w:hint="eastAsia"/>
          <w:bCs/>
          <w:color w:val="000000"/>
          <w:kern w:val="0"/>
          <w:sz w:val="32"/>
          <w:szCs w:val="32"/>
          <w:lang w:eastAsia="zh-CN"/>
        </w:rPr>
        <w:t>分局</w:t>
      </w:r>
      <w:r>
        <w:rPr>
          <w:rFonts w:ascii="仿宋_GB2312" w:eastAsia="仿宋_GB2312" w:cs="仿宋_GB2312" w:hint="eastAsia"/>
          <w:bCs/>
          <w:color w:val="000000"/>
          <w:kern w:val="0"/>
          <w:sz w:val="32"/>
          <w:szCs w:val="32"/>
        </w:rPr>
        <w:t xml:space="preserve">报告“三同时”完成情况。并按规定接受各级生态环境行政主管部门的日常监督检查。 </w:t>
      </w:r>
    </w:p>
    <w:p>
      <w:pPr>
        <w:keepNext w:val="0"/>
        <w:keepLines w:val="0"/>
        <w:pageBreakBefore w:val="0"/>
        <w:widowControl w:val="0"/>
        <w:kinsoku/>
        <w:wordWrap/>
        <w:overflowPunct/>
        <w:topLinePunct w:val="0"/>
        <w:autoSpaceDE/>
        <w:autoSpaceDN/>
        <w:bidi w:val="0"/>
        <w:adjustRightInd w:val="0"/>
        <w:snapToGrid w:val="0"/>
        <w:spacing w:line="540" w:lineRule="exact"/>
        <w:ind w:left="0" w:right="0"/>
        <w:jc w:val="right"/>
        <w:textAlignment w:val="auto"/>
        <w:rPr>
          <w:rFonts w:ascii="仿宋_GB2312" w:eastAsia="仿宋_GB2312" w:cs="仿宋_GB2312" w:hint="eastAsia"/>
          <w:bCs/>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right="0"/>
        <w:jc w:val="right"/>
        <w:textAlignment w:val="auto"/>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 xml:space="preserve">          </w:t>
      </w:r>
    </w:p>
    <w:p>
      <w:pPr>
        <w:keepNext w:val="0"/>
        <w:keepLines w:val="0"/>
        <w:pageBreakBefore w:val="0"/>
        <w:widowControl w:val="0"/>
        <w:kinsoku/>
        <w:wordWrap w:val="0"/>
        <w:overflowPunct/>
        <w:topLinePunct w:val="0"/>
        <w:autoSpaceDE/>
        <w:autoSpaceDN/>
        <w:bidi w:val="0"/>
        <w:adjustRightInd w:val="0"/>
        <w:snapToGrid w:val="0"/>
        <w:spacing w:line="540" w:lineRule="exact"/>
        <w:ind w:left="0" w:right="0"/>
        <w:jc w:val="right"/>
        <w:textAlignment w:val="auto"/>
        <w:rPr>
          <w:rFonts w:ascii="仿宋_GB2312" w:eastAsia="仿宋_GB2312" w:cs="仿宋_GB2312" w:hint="eastAsia"/>
          <w:bCs/>
          <w:color w:val="000000"/>
          <w:kern w:val="0"/>
          <w:sz w:val="32"/>
          <w:szCs w:val="32"/>
          <w:lang w:val="en-US" w:eastAsia="zh-CN"/>
        </w:rPr>
      </w:pPr>
      <w:r>
        <w:rPr>
          <w:rFonts w:ascii="仿宋_GB2312" w:eastAsia="仿宋_GB2312" w:cs="仿宋_GB2312" w:hint="eastAsia"/>
          <w:bCs/>
          <w:color w:val="000000"/>
          <w:kern w:val="0"/>
          <w:sz w:val="32"/>
          <w:szCs w:val="32"/>
        </w:rPr>
        <w:t xml:space="preserve">  秦皇岛市行政审批局</w:t>
      </w:r>
      <w:r>
        <w:rPr>
          <w:rFonts w:ascii="仿宋_GB2312" w:eastAsia="仿宋_GB2312" w:cs="仿宋_GB2312" w:hint="eastAsia"/>
          <w:bCs/>
          <w:color w:val="000000"/>
          <w:kern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40" w:lineRule="exact"/>
        <w:ind w:left="0" w:right="0"/>
        <w:jc w:val="right"/>
        <w:textAlignment w:val="auto"/>
        <w:rPr>
          <w:rFonts w:ascii="仿宋_GB2312" w:eastAsia="仿宋_GB2312" w:cs="仿宋_GB2312"/>
          <w:spacing w:val="-6"/>
          <w:sz w:val="32"/>
          <w:szCs w:val="32"/>
          <w:lang w:val="en-US" w:eastAsia="zh-CN"/>
        </w:rPr>
      </w:pPr>
      <w:r>
        <w:rPr>
          <w:rFonts w:ascii="仿宋_GB2312" w:eastAsia="仿宋_GB2312" w:cs="仿宋_GB2312" w:hint="eastAsia"/>
          <w:bCs/>
          <w:color w:val="000000"/>
          <w:kern w:val="0"/>
          <w:sz w:val="32"/>
          <w:szCs w:val="32"/>
        </w:rPr>
        <w:t xml:space="preserve">  2024年</w:t>
      </w:r>
      <w:r>
        <w:rPr>
          <w:rFonts w:ascii="仿宋_GB2312" w:eastAsia="仿宋_GB2312" w:cs="仿宋_GB2312"/>
          <w:bCs/>
          <w:color w:val="000000"/>
          <w:kern w:val="0"/>
          <w:sz w:val="32"/>
          <w:szCs w:val="32"/>
          <w:lang w:val="en-US" w:eastAsia="zh-CN"/>
        </w:rPr>
        <w:t>11</w:t>
      </w:r>
      <w:r>
        <w:rPr>
          <w:rFonts w:ascii="仿宋_GB2312" w:eastAsia="仿宋_GB2312" w:cs="仿宋_GB2312" w:hint="eastAsia"/>
          <w:bCs/>
          <w:color w:val="000000"/>
          <w:kern w:val="0"/>
          <w:sz w:val="32"/>
          <w:szCs w:val="32"/>
        </w:rPr>
        <w:t>月</w:t>
      </w:r>
      <w:r>
        <w:rPr>
          <w:rFonts w:ascii="仿宋_GB2312" w:eastAsia="仿宋_GB2312" w:cs="仿宋_GB2312"/>
          <w:bCs/>
          <w:color w:val="000000"/>
          <w:kern w:val="0"/>
          <w:sz w:val="32"/>
          <w:szCs w:val="32"/>
        </w:rPr>
        <w:t>2</w:t>
      </w:r>
      <w:r>
        <w:rPr>
          <w:rFonts w:ascii="仿宋_GB2312" w:eastAsia="仿宋_GB2312" w:cs="仿宋_GB2312" w:hint="eastAsia"/>
          <w:bCs/>
          <w:color w:val="000000"/>
          <w:kern w:val="0"/>
          <w:sz w:val="32"/>
          <w:szCs w:val="32"/>
          <w:lang w:val="en-US" w:eastAsia="zh-CN"/>
        </w:rPr>
        <w:t>1</w:t>
      </w:r>
      <w:r>
        <w:rPr>
          <w:rFonts w:ascii="仿宋_GB2312" w:eastAsia="仿宋_GB2312" w:cs="仿宋_GB2312" w:hint="eastAsia"/>
          <w:bCs/>
          <w:color w:val="000000"/>
          <w:kern w:val="0"/>
          <w:sz w:val="32"/>
          <w:szCs w:val="32"/>
        </w:rPr>
        <w:t>日</w:t>
      </w:r>
      <w:r>
        <w:rPr>
          <w:rFonts w:ascii="仿宋_GB2312" w:eastAsia="仿宋_GB2312" w:cs="仿宋_GB2312" w:hint="eastAsia"/>
          <w:bCs/>
          <w:color w:val="000000"/>
          <w:kern w:val="0"/>
          <w:sz w:val="32"/>
          <w:szCs w:val="32"/>
          <w:lang w:val="en-US" w:eastAsia="zh-CN"/>
        </w:rPr>
        <w:t xml:space="preserve">         </w:t>
      </w:r>
    </w:p>
    <w:sectPr>
      <w:footerReference w:type="default" r:id="rId2"/>
      <w:footerReference w:type="even" r:id="rId3"/>
      <w:footerReference w:type="first" r:id="rId4"/>
      <w:pgSz w:w="11906" w:h="16838"/>
      <w:pgMar w:top="2098" w:right="1474" w:bottom="1871"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Times New Roman">
    <w:panose1 w:val="02020603050405020304"/>
    <w:charset w:val="80"/>
    <w:family w:val="auto"/>
    <w:pitch w:val="variable"/>
    <w:sig w:usb0="E0002EFF" w:usb1="C000785B" w:usb2="00000009" w:usb3="00000000" w:csb0="400001FF" w:csb1="FFFF0000"/>
  </w:font>
  <w:font w:name="仿宋_GB2312">
    <w:altName w:val="仿宋"/>
    <w:panose1 w:val="02010609030101010101"/>
    <w:charset w:val="86"/>
    <w:family w:val="auto"/>
    <w:pitch w:val="variable"/>
    <w:sig w:usb0="00000000" w:usb1="00000000" w:usb2="00000000" w:usb3="00000000" w:csb0="00040000" w:csb1="00000000"/>
  </w:font>
  <w:font w:name="方正小标宋简体">
    <w:altName w:val="微软雅黑"/>
    <w:panose1 w:val="03000509000000000000"/>
    <w:charset w:val="86"/>
    <w:family w:val="auto"/>
    <w:pitch w:val="variable"/>
    <w:sig w:usb0="00000000" w:usb1="00000000" w:usb2="00000000" w:usb3="00000000" w:csb0="00040000" w:csb1="00000000"/>
  </w:font>
  <w:font w:name="宋体">
    <w:panose1 w:val="02010600030101010101"/>
    <w:charset w:val="50"/>
    <w:family w:val="auto"/>
    <w:pitch w:val="variable"/>
    <w:sig w:usb0="000002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19"/>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3"/>
      </w:rPr>
      <w:fldChar w:fldCharType="begin"/>
    </w:r>
    <w:r>
      <w:rPr>
        <w:rStyle w:val="23"/>
      </w:rPr>
      <w:instrText>Page</w:instrText>
    </w:r>
    <w:r>
      <w:rPr>
        <w:rStyle w:val="23"/>
      </w:rPr>
      <w:fldChar w:fldCharType="separate"/>
    </w:r>
    <w:r>
      <w:rPr>
        <w:rStyle w:val="23"/>
      </w:rPr>
      <w:t>- 1 -</w:t>
    </w:r>
    <w:r>
      <w:rPr>
        <w:rStyle w:val="23"/>
      </w:rPr>
      <w:fldChar w:fldCharType="end"/>
    </w:r>
  </w:p>
  <w:p>
    <w:pPr>
      <w:pStyle w:val="19"/>
      <w:tabs>
        <w:tab w:val="center" w:pos="4153"/>
        <w:tab w:val="right" w:pos="8306"/>
      </w:tabs>
      <w:ind w:right="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5D72EC5"/>
    <w:multiLevelType w:val="multilevel"/>
    <w:tmpl w:val="65D72EC5"/>
    <w:lvl w:ilvl="0">
      <w:start w:val="1"/>
      <w:numFmt w:val="decimal"/>
      <w:lvlRestart w:val="0"/>
      <w:lvlText w:val="%1."/>
      <w:lvlJc w:val="left"/>
      <w:pPr>
        <w:ind w:left="1000" w:hanging="36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TcxODgxODA3NWJhYzI1ODExMjI4N2VhOTZhYTdkMD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adjustRightInd w:val="0"/>
      <w:snapToGrid w:val="0"/>
      <w:spacing w:line="360" w:lineRule="auto"/>
    </w:pPr>
    <w:rPr>
      <w:sz w:val="24"/>
    </w:rPr>
  </w:style>
  <w:style w:type="paragraph" w:styleId="16">
    <w:name w:val="toc 1"/>
    <w:basedOn w:val="0"/>
    <w:next w:val="0"/>
    <w:pPr>
      <w:adjustRightInd w:val="0"/>
      <w:snapToGrid w:val="0"/>
      <w:spacing w:line="280" w:lineRule="exact"/>
      <w:jc w:val="center"/>
    </w:pPr>
    <w:rPr>
      <w:sz w:val="24"/>
      <w:szCs w:val="20"/>
    </w:rPr>
  </w:style>
  <w:style w:type="paragraph" w:styleId="17">
    <w:name w:val="Body Text"/>
    <w:basedOn w:val="0"/>
    <w:next w:val="18"/>
    <w:pPr>
      <w:spacing w:line="240" w:lineRule="atLeast"/>
    </w:pPr>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toc 2"/>
    <w:basedOn w:val="0"/>
    <w:next w:val="0"/>
    <w:pPr>
      <w:widowControl w:val="0"/>
      <w:ind w:leftChars="200" w:left="200"/>
      <w:jc w:val="both"/>
    </w:pPr>
    <w:rPr>
      <w:rFonts w:ascii="Calibri" w:eastAsia="宋体" w:cs="Times New Roman" w:hAnsi="Calibri"/>
      <w:kern w:val="2"/>
      <w:sz w:val="21"/>
      <w:szCs w:val="24"/>
      <w:lang w:val="en-US" w:eastAsia="zh-CN" w:bidi="ar-SA"/>
    </w:rPr>
  </w:style>
  <w:style w:type="paragraph" w:styleId="22">
    <w:name w:val="Body Text First Indent"/>
    <w:basedOn w:val="17"/>
    <w:pPr>
      <w:spacing w:after="120"/>
      <w:ind w:firstLineChars="100" w:firstLine="100"/>
    </w:pPr>
    <w:rPr>
      <w:sz w:val="21"/>
      <w:szCs w:val="24"/>
    </w:rPr>
  </w:style>
  <w:style w:type="character" w:styleId="23">
    <w:name w:val="page number"/>
    <w:basedOn w:val="10"/>
  </w:style>
  <w:style w:type="paragraph" w:customStyle="1" w:styleId="24">
    <w:name w:val="标题 段落4级"/>
    <w:pPr>
      <w:spacing w:line="500" w:lineRule="exact"/>
      <w:outlineLvl w:val="3"/>
    </w:pPr>
    <w:rPr>
      <w:rFonts w:ascii="Times New Roman" w:eastAsia="仿宋_GB2312" w:cs="Calibri" w:hAnsi="Times New Roman"/>
      <w:b/>
      <w:kern w:val="2"/>
      <w:sz w:val="28"/>
      <w:szCs w:val="24"/>
      <w:lang w:val="en-US" w:eastAsia="zh-CN" w:bidi="ar-SA"/>
    </w:rPr>
  </w:style>
  <w:style w:type="paragraph" w:customStyle="1" w:styleId="25">
    <w:name w:val="Default"/>
    <w:basedOn w:val="24"/>
    <w:pPr>
      <w:widowControl w:val="0"/>
      <w:autoSpaceDE w:val="0"/>
      <w:autoSpaceDN w:val="0"/>
      <w:adjustRightInd w:val="0"/>
    </w:pPr>
    <w:rPr>
      <w:color w:val="000000"/>
      <w:sz w:val="24"/>
      <w:szCs w:val="24"/>
      <w:lang w:val="en-US" w:eastAsia="zh-CN" w:bidi="ar-SA"/>
    </w:rPr>
  </w:style>
  <w:style w:type="character" w:customStyle="1" w:styleId="26">
    <w:name w:val="NormalCharacter"/>
    <w:rPr>
      <w:rFonts w:ascii="Times New Roman" w:eastAsia="宋体" w:hAnsi="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32</TotalTime>
  <Application>Yozo_Office27021597764231179</Application>
  <Pages>7</Pages>
  <Words>3672</Words>
  <Characters>3939</Characters>
  <Lines>155</Lines>
  <Paragraphs>33</Paragraphs>
  <CharactersWithSpaces>3990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w's'd</dc:creator>
  <cp:lastModifiedBy>lcz</cp:lastModifiedBy>
  <cp:revision>1</cp:revision>
  <cp:lastPrinted>2024-02-18T02:49:00Z</cp:lastPrinted>
  <dcterms:created xsi:type="dcterms:W3CDTF">2021-03-27T17:03:00Z</dcterms:created>
  <dcterms:modified xsi:type="dcterms:W3CDTF">2024-11-20T08:51:29Z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2052-12.1.0.15336</vt:lpwstr>
  </property>
  <property fmtid="{D5CDD505-2E9C-101B-9397-08002B2CF9AE}" pid="3" name="ICV">
    <vt:lpwstr>4808B83192134C77BEB4E422C6AAA821</vt:lpwstr>
  </property>
</Properties>
</file>