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w:t>
      </w:r>
      <w:r>
        <w:rPr>
          <w:rFonts w:hint="eastAsia" w:ascii="Times New Roman" w:hAnsi="Times New Roman" w:eastAsia="仿宋_GB2312" w:cs="仿宋_GB2312"/>
          <w:color w:val="auto"/>
          <w:sz w:val="32"/>
          <w:szCs w:val="32"/>
          <w:lang w:eastAsia="zh-CN"/>
        </w:rPr>
        <w:t>202</w:t>
      </w:r>
      <w:r>
        <w:rPr>
          <w:rFonts w:hint="default"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hint="default" w:ascii="Times New Roman" w:hAnsi="Times New Roman" w:eastAsia="仿宋_GB2312" w:cs="仿宋_GB2312"/>
          <w:color w:val="auto"/>
          <w:sz w:val="32"/>
          <w:szCs w:val="32"/>
          <w:lang w:eastAsia="zh-CN"/>
        </w:rPr>
        <w:t>29</w:t>
      </w:r>
      <w:r>
        <w:rPr>
          <w:rFonts w:hint="eastAsia" w:ascii="Times New Roman" w:hAnsi="Times New Roman" w:eastAsia="仿宋_GB2312" w:cs="仿宋_GB2312"/>
          <w:color w:val="auto"/>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eastAsia="zh-CN"/>
        </w:rPr>
        <w:t>秦皇岛品贤建材有限公司机制砂石料加工项目</w:t>
      </w:r>
      <w:r>
        <w:rPr>
          <w:rFonts w:hint="eastAsia" w:ascii="方正小标宋简体" w:hAnsi="方正小标宋简体" w:eastAsia="方正小标宋简体" w:cs="方正小标宋简体"/>
          <w:kern w:val="44"/>
          <w:sz w:val="44"/>
          <w:szCs w:val="44"/>
        </w:rPr>
        <w:t>环境影响报告表的批复</w:t>
      </w:r>
    </w:p>
    <w:p>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秦皇岛品贤建材有限公司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eastAsia="zh-CN"/>
        </w:rPr>
        <w:t>秦皇岛品贤建材有限公司机制砂石料加工项目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该项目位于</w:t>
      </w:r>
      <w:r>
        <w:rPr>
          <w:rFonts w:hint="default" w:ascii="仿宋_GB2312" w:hAnsi="仿宋_GB2312" w:eastAsia="仿宋_GB2312" w:cs="仿宋_GB2312"/>
          <w:sz w:val="32"/>
          <w:szCs w:val="32"/>
        </w:rPr>
        <w:t>河北省秦皇岛市海港区柳观峪村</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为新建项目，</w:t>
      </w:r>
      <w:r>
        <w:rPr>
          <w:rFonts w:hint="eastAsia" w:ascii="仿宋_GB2312" w:hAnsi="仿宋_GB2312" w:eastAsia="仿宋_GB2312" w:cs="仿宋_GB2312"/>
          <w:color w:val="auto"/>
          <w:sz w:val="32"/>
          <w:szCs w:val="32"/>
        </w:rPr>
        <w:t>项目主要建设内容：</w:t>
      </w:r>
      <w:r>
        <w:rPr>
          <w:rFonts w:hint="default" w:ascii="仿宋_GB2312" w:hAnsi="仿宋_GB2312" w:eastAsia="仿宋_GB2312" w:cs="仿宋_GB2312"/>
          <w:color w:val="auto"/>
          <w:sz w:val="32"/>
          <w:szCs w:val="32"/>
          <w:lang w:eastAsia="zh-CN"/>
        </w:rPr>
        <w:t>该项目占地6666.7平方米，主要购置制砂机、振动筛、选粉机等设备，建设机制砂石料生产线，项目建设完成后年产机制砂石料200万吨。</w:t>
      </w:r>
      <w:r>
        <w:rPr>
          <w:rFonts w:hint="eastAsia" w:ascii="仿宋_GB2312" w:hAnsi="仿宋_GB2312" w:eastAsia="仿宋_GB2312" w:cs="仿宋_GB2312"/>
          <w:color w:val="auto"/>
          <w:sz w:val="32"/>
          <w:szCs w:val="32"/>
          <w:lang w:eastAsia="zh-CN"/>
        </w:rPr>
        <w:t>项目总投资50</w:t>
      </w:r>
      <w:r>
        <w:rPr>
          <w:rFonts w:hint="default"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eastAsia="zh-CN"/>
        </w:rPr>
        <w:t>万元，其中环保投资</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0万元，占总投资的</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.0%。</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项目不属于《产业结构调整指导目录》（20</w:t>
      </w:r>
      <w:r>
        <w:rPr>
          <w:rFonts w:hint="default"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年本）限制、淘汰类；</w:t>
      </w:r>
      <w:r>
        <w:rPr>
          <w:rFonts w:hint="eastAsia" w:ascii="仿宋_GB2312" w:hAnsi="仿宋_GB2312" w:eastAsia="仿宋_GB2312" w:cs="仿宋_GB2312"/>
          <w:sz w:val="32"/>
          <w:szCs w:val="32"/>
        </w:rPr>
        <w:t>不属于</w:t>
      </w:r>
      <w:r>
        <w:rPr>
          <w:rFonts w:hint="eastAsia" w:ascii="仿宋_GB2312" w:hAnsi="仿宋_GB2312" w:eastAsia="仿宋_GB2312" w:cs="仿宋_GB2312"/>
          <w:kern w:val="0"/>
          <w:sz w:val="32"/>
          <w:szCs w:val="32"/>
        </w:rPr>
        <w:t>《秦皇岛市限制和禁止投资的产业目录》（2020年修订版）限制和禁止类；该项目已通过</w:t>
      </w:r>
      <w:r>
        <w:rPr>
          <w:rFonts w:hint="default" w:ascii="仿宋_GB2312" w:hAnsi="仿宋_GB2312" w:eastAsia="仿宋_GB2312" w:cs="仿宋_GB2312"/>
          <w:kern w:val="0"/>
          <w:sz w:val="32"/>
          <w:szCs w:val="32"/>
          <w:lang w:eastAsia="zh-CN"/>
        </w:rPr>
        <w:t>秦皇岛市海港区发展和改革局</w:t>
      </w:r>
      <w:r>
        <w:rPr>
          <w:rFonts w:hint="eastAsia" w:ascii="仿宋_GB2312" w:hAnsi="仿宋_GB2312" w:eastAsia="仿宋_GB2312" w:cs="仿宋_GB2312"/>
          <w:kern w:val="0"/>
          <w:sz w:val="32"/>
          <w:szCs w:val="32"/>
        </w:rPr>
        <w:t>备案</w:t>
      </w:r>
      <w:r>
        <w:rPr>
          <w:rFonts w:hint="default" w:ascii="仿宋_GB2312" w:hAnsi="仿宋_GB2312" w:eastAsia="仿宋_GB2312" w:cs="仿宋_GB2312"/>
          <w:kern w:val="0"/>
          <w:sz w:val="32"/>
          <w:szCs w:val="32"/>
        </w:rPr>
        <w:t>,</w:t>
      </w:r>
      <w:r>
        <w:rPr>
          <w:rFonts w:hint="default" w:ascii="Times New Roman" w:hAnsi="Times New Roman" w:eastAsia="仿宋" w:cs="Times New Roman"/>
          <w:sz w:val="32"/>
          <w:szCs w:val="32"/>
          <w:highlight w:val="none"/>
        </w:rPr>
        <w:t>备案编号:</w:t>
      </w:r>
      <w:r>
        <w:rPr>
          <w:rFonts w:hint="eastAsia" w:ascii="仿宋_GB2312" w:hAnsi="仿宋_GB2312" w:eastAsia="仿宋_GB2312" w:cs="仿宋_GB2312"/>
          <w:color w:val="auto"/>
          <w:kern w:val="0"/>
          <w:sz w:val="32"/>
          <w:szCs w:val="32"/>
        </w:rPr>
        <w:t>海发改备〔2024〕118号</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该《报告表》已通过河北绿业环保科技有限公</w:t>
      </w:r>
      <w:bookmarkStart w:id="0" w:name="_GoBack"/>
      <w:bookmarkEnd w:id="0"/>
      <w:r>
        <w:rPr>
          <w:rFonts w:hint="eastAsia" w:ascii="仿宋_GB2312" w:hAnsi="仿宋_GB2312" w:eastAsia="仿宋_GB2312" w:cs="仿宋_GB2312"/>
          <w:color w:val="000000"/>
          <w:kern w:val="0"/>
          <w:sz w:val="32"/>
          <w:szCs w:val="32"/>
        </w:rPr>
        <w:t>司评估，结合评估意见（绿秦环评［2024］069号）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000000"/>
          <w:spacing w:val="-6"/>
          <w:sz w:val="32"/>
          <w:szCs w:val="32"/>
        </w:rPr>
        <w:t xml:space="preserve">  </w:t>
      </w:r>
      <w:r>
        <w:rPr>
          <w:rFonts w:hint="default"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项目施工的主要内容</w:t>
      </w:r>
      <w:r>
        <w:rPr>
          <w:rFonts w:hint="eastAsia" w:ascii="仿宋_GB2312" w:hAnsi="仿宋_GB2312" w:eastAsia="仿宋_GB2312" w:cs="仿宋_GB2312"/>
          <w:color w:val="auto"/>
          <w:spacing w:val="-6"/>
          <w:sz w:val="32"/>
          <w:szCs w:val="32"/>
          <w:lang w:eastAsia="zh-CN"/>
        </w:rPr>
        <w:t>为</w:t>
      </w:r>
      <w:r>
        <w:rPr>
          <w:rFonts w:hint="eastAsia" w:ascii="仿宋_GB2312" w:hAnsi="仿宋_GB2312" w:eastAsia="仿宋_GB2312" w:cs="仿宋_GB2312"/>
          <w:color w:val="auto"/>
          <w:spacing w:val="-6"/>
          <w:sz w:val="32"/>
          <w:szCs w:val="32"/>
        </w:rPr>
        <w:t>生产车间改造、库房建设、安装生产设备及地面的硬化的安装</w:t>
      </w:r>
      <w:r>
        <w:rPr>
          <w:rFonts w:hint="default" w:ascii="仿宋_GB2312" w:hAnsi="仿宋_GB2312" w:eastAsia="仿宋_GB2312" w:cs="仿宋_GB2312"/>
          <w:color w:val="auto"/>
          <w:spacing w:val="-6"/>
          <w:sz w:val="32"/>
          <w:szCs w:val="32"/>
        </w:rPr>
        <w:t>等</w:t>
      </w:r>
      <w:r>
        <w:rPr>
          <w:rFonts w:hint="eastAsia" w:ascii="仿宋_GB2312" w:hAnsi="仿宋_GB2312" w:eastAsia="仿宋_GB2312" w:cs="仿宋_GB2312"/>
          <w:color w:val="auto"/>
          <w:spacing w:val="-6"/>
          <w:sz w:val="32"/>
          <w:szCs w:val="32"/>
        </w:rPr>
        <w:t>。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施工</w:t>
      </w:r>
      <w:r>
        <w:rPr>
          <w:rFonts w:hint="default" w:ascii="仿宋_GB2312" w:hAnsi="仿宋_GB2312" w:eastAsia="仿宋_GB2312" w:cs="仿宋_GB2312"/>
          <w:color w:val="auto"/>
          <w:spacing w:val="-6"/>
          <w:sz w:val="32"/>
          <w:szCs w:val="32"/>
        </w:rPr>
        <w:t>废水</w:t>
      </w:r>
      <w:r>
        <w:rPr>
          <w:rFonts w:hint="eastAsia" w:ascii="仿宋_GB2312" w:hAnsi="仿宋_GB2312" w:eastAsia="仿宋_GB2312" w:cs="仿宋_GB2312"/>
          <w:color w:val="auto"/>
          <w:spacing w:val="-6"/>
          <w:sz w:val="32"/>
          <w:szCs w:val="32"/>
        </w:rPr>
        <w:t>经沉淀处理后回用于回用于工程养护、喷洒施工场地和道路抑尘等</w:t>
      </w:r>
      <w:r>
        <w:rPr>
          <w:rFonts w:hint="default" w:ascii="仿宋_GB2312" w:hAnsi="仿宋_GB2312" w:eastAsia="仿宋_GB2312" w:cs="仿宋_GB2312"/>
          <w:color w:val="auto"/>
          <w:spacing w:val="-6"/>
          <w:sz w:val="32"/>
          <w:szCs w:val="32"/>
        </w:rPr>
        <w:t>，厂区内设旱厕，定期清掏用作农肥，员工生活污水施工场地内泼洒抑尘</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加强防腐防渗措施。按《报告表》要求进行相应的防腐防渗施工。</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w:t>
      </w:r>
      <w:r>
        <w:rPr>
          <w:rFonts w:hint="default" w:ascii="仿宋_GB2312" w:hAnsi="仿宋_GB2312" w:eastAsia="仿宋_GB2312" w:cs="仿宋_GB2312"/>
          <w:color w:val="auto"/>
          <w:spacing w:val="-6"/>
          <w:sz w:val="32"/>
          <w:szCs w:val="32"/>
          <w:lang w:eastAsia="zh-CN"/>
        </w:rPr>
        <w:t>有组织废气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eastAsia="zh-CN"/>
        </w:rPr>
        <w:t>本项目</w:t>
      </w:r>
      <w:r>
        <w:rPr>
          <w:rFonts w:hint="default" w:ascii="仿宋_GB2312" w:hAnsi="仿宋_GB2312" w:eastAsia="仿宋_GB2312" w:cs="仿宋_GB2312"/>
          <w:color w:val="auto"/>
          <w:spacing w:val="-6"/>
          <w:sz w:val="32"/>
          <w:szCs w:val="32"/>
          <w:lang w:eastAsia="zh-CN"/>
        </w:rPr>
        <w:t>入料、制砂破碎、筛分废气经</w:t>
      </w:r>
      <w:r>
        <w:rPr>
          <w:rFonts w:hint="default" w:ascii="仿宋_GB2312" w:hAnsi="仿宋_GB2312" w:eastAsia="仿宋_GB2312" w:cs="仿宋_GB2312"/>
          <w:color w:val="auto"/>
          <w:spacing w:val="-6"/>
          <w:sz w:val="32"/>
          <w:szCs w:val="32"/>
          <w:lang w:val="en-US" w:eastAsia="zh-CN"/>
        </w:rPr>
        <w:t>集气罩+皮带转运落料点封闭通廊设置管道收集</w:t>
      </w:r>
      <w:r>
        <w:rPr>
          <w:rFonts w:hint="default" w:ascii="仿宋_GB2312" w:hAnsi="仿宋_GB2312" w:eastAsia="仿宋_GB2312" w:cs="仿宋_GB2312"/>
          <w:color w:val="auto"/>
          <w:spacing w:val="-6"/>
          <w:sz w:val="32"/>
          <w:szCs w:val="32"/>
          <w:lang w:eastAsia="zh-CN"/>
        </w:rPr>
        <w:t>后</w:t>
      </w:r>
      <w:r>
        <w:rPr>
          <w:rFonts w:hint="default" w:ascii="仿宋_GB2312" w:hAnsi="仿宋_GB2312" w:eastAsia="仿宋_GB2312" w:cs="仿宋_GB2312"/>
          <w:color w:val="auto"/>
          <w:spacing w:val="-6"/>
          <w:sz w:val="32"/>
          <w:szCs w:val="32"/>
          <w:lang w:val="en-US" w:eastAsia="zh-CN"/>
        </w:rPr>
        <w:t>，与</w:t>
      </w:r>
      <w:r>
        <w:rPr>
          <w:rFonts w:hint="default" w:ascii="仿宋_GB2312" w:hAnsi="仿宋_GB2312" w:eastAsia="仿宋_GB2312" w:cs="仿宋_GB2312"/>
          <w:color w:val="auto"/>
          <w:spacing w:val="-6"/>
          <w:sz w:val="32"/>
          <w:szCs w:val="32"/>
          <w:lang w:eastAsia="zh-CN"/>
        </w:rPr>
        <w:t>经</w:t>
      </w:r>
      <w:r>
        <w:rPr>
          <w:rFonts w:hint="default" w:ascii="仿宋_GB2312" w:hAnsi="仿宋_GB2312" w:eastAsia="仿宋_GB2312" w:cs="仿宋_GB2312"/>
          <w:color w:val="auto"/>
          <w:spacing w:val="-6"/>
          <w:sz w:val="32"/>
          <w:szCs w:val="32"/>
          <w:lang w:val="en-US" w:eastAsia="zh-CN"/>
        </w:rPr>
        <w:t>密闭管道+集气装置收集</w:t>
      </w:r>
      <w:r>
        <w:rPr>
          <w:rFonts w:hint="default" w:ascii="仿宋_GB2312" w:hAnsi="仿宋_GB2312" w:eastAsia="仿宋_GB2312" w:cs="仿宋_GB2312"/>
          <w:color w:val="auto"/>
          <w:spacing w:val="-6"/>
          <w:sz w:val="32"/>
          <w:szCs w:val="32"/>
          <w:lang w:eastAsia="zh-CN"/>
        </w:rPr>
        <w:t>的</w:t>
      </w:r>
      <w:r>
        <w:rPr>
          <w:rFonts w:hint="default" w:ascii="仿宋_GB2312" w:hAnsi="仿宋_GB2312" w:eastAsia="仿宋_GB2312" w:cs="仿宋_GB2312"/>
          <w:color w:val="auto"/>
          <w:spacing w:val="-6"/>
          <w:sz w:val="32"/>
          <w:szCs w:val="32"/>
          <w:lang w:val="en-US" w:eastAsia="zh-CN"/>
        </w:rPr>
        <w:t>石粉仓顶呼吸废气</w:t>
      </w:r>
      <w:r>
        <w:rPr>
          <w:rFonts w:hint="default" w:ascii="仿宋_GB2312" w:hAnsi="仿宋_GB2312" w:eastAsia="仿宋_GB2312" w:cs="仿宋_GB2312"/>
          <w:color w:val="auto"/>
          <w:spacing w:val="-6"/>
          <w:sz w:val="32"/>
          <w:szCs w:val="32"/>
          <w:lang w:eastAsia="zh-CN"/>
        </w:rPr>
        <w:t>一并利用1套高效脉冲袋式除尘器进行处理，处理后经1根15m排气筒排放。</w:t>
      </w:r>
      <w:r>
        <w:rPr>
          <w:rFonts w:hint="default" w:ascii="仿宋_GB2312" w:hAnsi="仿宋_GB2312" w:eastAsia="仿宋_GB2312" w:cs="仿宋_GB2312"/>
          <w:color w:val="auto"/>
          <w:spacing w:val="-6"/>
          <w:sz w:val="32"/>
          <w:szCs w:val="32"/>
          <w:lang w:eastAsia="zh-CN"/>
        </w:rPr>
        <w:br w:type="textWrapping"/>
      </w:r>
      <w:r>
        <w:rPr>
          <w:rFonts w:hint="default" w:ascii="仿宋_GB2312" w:hAnsi="仿宋_GB2312" w:eastAsia="仿宋_GB2312" w:cs="仿宋_GB2312"/>
          <w:color w:val="FF0000"/>
          <w:spacing w:val="-6"/>
          <w:sz w:val="32"/>
          <w:szCs w:val="32"/>
          <w:lang w:eastAsia="zh-CN"/>
        </w:rPr>
        <w:t xml:space="preserve">   </w:t>
      </w:r>
      <w:r>
        <w:rPr>
          <w:rFonts w:hint="default" w:ascii="仿宋_GB2312" w:hAnsi="仿宋_GB2312" w:eastAsia="仿宋_GB2312" w:cs="仿宋_GB2312"/>
          <w:color w:val="0000FF"/>
          <w:spacing w:val="-6"/>
          <w:sz w:val="32"/>
          <w:szCs w:val="32"/>
          <w:lang w:eastAsia="zh-CN"/>
        </w:rPr>
        <w:t xml:space="preserve"> </w:t>
      </w:r>
      <w:r>
        <w:rPr>
          <w:rFonts w:hint="default" w:ascii="仿宋_GB2312" w:hAnsi="仿宋_GB2312" w:eastAsia="仿宋_GB2312" w:cs="仿宋_GB2312"/>
          <w:color w:val="auto"/>
          <w:spacing w:val="-6"/>
          <w:sz w:val="32"/>
          <w:szCs w:val="32"/>
          <w:lang w:val="en-US" w:eastAsia="zh-CN"/>
        </w:rPr>
        <w:t>所排废气须满足《石灰、电石工业大气污染物排放标准》（GB41618-2022）表1</w:t>
      </w:r>
      <w:r>
        <w:rPr>
          <w:rFonts w:hint="default"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无组织废气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项目生产工序均在地下封闭车间内进行，卸车、装车作业设置水喷淋设施，厂区道路硬化，并定期清扫和洒水抑尘，车辆进场厂处设置洗车平台，输送皮带封闭设置、皮带落料点封闭设置：库房封闭设置，设喷淋抑尘设施</w:t>
      </w:r>
      <w:r>
        <w:rPr>
          <w:rFonts w:hint="default" w:ascii="仿宋_GB2312" w:hAnsi="仿宋_GB2312" w:eastAsia="仿宋_GB2312" w:cs="仿宋_GB2312"/>
          <w:color w:val="auto"/>
          <w:spacing w:val="-6"/>
          <w:sz w:val="32"/>
          <w:szCs w:val="32"/>
          <w:lang w:eastAsia="zh-CN"/>
        </w:rPr>
        <w:t>等措施</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default" w:ascii="仿宋_GB2312" w:hAnsi="仿宋_GB2312" w:eastAsia="仿宋_GB2312" w:cs="仿宋_GB2312"/>
          <w:color w:val="auto"/>
          <w:spacing w:val="-6"/>
          <w:sz w:val="32"/>
          <w:szCs w:val="32"/>
          <w:lang w:eastAsia="zh-CN"/>
        </w:rPr>
        <w:t>厂界无组织排放颗粒物浓度须满足《大气污染物综合排放标准》（GB16297-1996）标准要求，同时满足《关于执行钢铁等行业大气污染物排放特别要求的通知》（秦皇岛市人民政府办公室[2021]-10）中无组织排放浓度特别管控要求；厂区内无组织颗粒物满足《石灰、电石工业大气污染物排放标准》（GB41618-2022）中表A.1标准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rPr>
        <w:t>2.严格落</w:t>
      </w:r>
      <w:r>
        <w:rPr>
          <w:rFonts w:hint="eastAsia" w:ascii="仿宋_GB2312" w:hAnsi="仿宋_GB2312" w:eastAsia="仿宋_GB2312" w:cs="仿宋_GB2312"/>
          <w:color w:val="auto"/>
          <w:sz w:val="32"/>
          <w:szCs w:val="32"/>
          <w:highlight w:val="none"/>
          <w:lang w:val="en-US" w:eastAsia="zh-CN"/>
        </w:rPr>
        <w:t>实水污染防治措施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项目</w:t>
      </w:r>
      <w:r>
        <w:rPr>
          <w:rFonts w:hint="default" w:ascii="仿宋_GB2312" w:hAnsi="仿宋_GB2312" w:eastAsia="仿宋_GB2312" w:cs="仿宋_GB2312"/>
          <w:color w:val="auto"/>
          <w:spacing w:val="-6"/>
          <w:sz w:val="32"/>
          <w:szCs w:val="32"/>
          <w:lang w:eastAsia="zh-CN"/>
        </w:rPr>
        <w:t>车间冲洗地面废水、洗车平台废水进入沉淀池处理后循环使用，厂区内设旱厕，定期清掏用作农田肥料。</w:t>
      </w:r>
    </w:p>
    <w:p>
      <w:pPr>
        <w:keepNext w:val="0"/>
        <w:keepLines w:val="0"/>
        <w:pageBreakBefore w:val="0"/>
        <w:widowControl w:val="0"/>
        <w:kinsoku/>
        <w:wordWrap/>
        <w:overflowPunct/>
        <w:topLinePunct w:val="0"/>
        <w:autoSpaceDE/>
        <w:autoSpaceDN/>
        <w:bidi w:val="0"/>
        <w:snapToGrid w:val="0"/>
        <w:spacing w:line="560" w:lineRule="exact"/>
        <w:ind w:right="0"/>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kern w:val="2"/>
          <w:sz w:val="32"/>
          <w:szCs w:val="32"/>
          <w:highlight w:val="none"/>
          <w:lang w:eastAsia="zh-CN" w:bidi="ar-SA"/>
        </w:rPr>
        <w:t xml:space="preserve">    </w:t>
      </w: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采取各项降噪措施，严格控制生产过程产生的噪声对周围环境的影响。项目选用低噪声设备、减振基础、厂房隔声等措施，项目实施后厂界噪声须满足《工业企业厂界环境噪声排放标准》（GB12348-2008）</w:t>
      </w:r>
      <w:r>
        <w:rPr>
          <w:rFonts w:hint="eastAsia" w:ascii="仿宋_GB2312" w:hAnsi="仿宋_GB2312" w:eastAsia="仿宋_GB2312" w:cs="仿宋_GB2312"/>
          <w:color w:val="auto"/>
          <w:spacing w:val="-6"/>
          <w:sz w:val="32"/>
          <w:szCs w:val="32"/>
          <w:lang w:val="en-US" w:eastAsia="zh-CN"/>
        </w:rPr>
        <w:t>2类</w:t>
      </w:r>
      <w:r>
        <w:rPr>
          <w:rFonts w:hint="eastAsia" w:ascii="仿宋_GB2312" w:hAnsi="仿宋_GB2312" w:eastAsia="仿宋_GB2312" w:cs="仿宋_GB2312"/>
          <w:color w:val="auto"/>
          <w:spacing w:val="-6"/>
          <w:sz w:val="32"/>
          <w:szCs w:val="32"/>
        </w:rPr>
        <w:t>标准限值要求。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除尘灰、除尘器废布袋、洗车平台沉淀池底泥、废润滑油、废润滑油桶</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除尘灰、除尘器废布袋、洗车平台沉淀池底泥收集后外售综合利用。废润滑油、废润滑油桶</w:t>
      </w:r>
      <w:r>
        <w:rPr>
          <w:rFonts w:hint="default" w:ascii="仿宋_GB2312" w:hAnsi="仿宋_GB2312" w:eastAsia="仿宋_GB2312" w:cs="仿宋_GB2312"/>
          <w:color w:val="auto"/>
          <w:spacing w:val="-6"/>
          <w:sz w:val="32"/>
          <w:szCs w:val="32"/>
          <w:lang w:eastAsia="zh-CN"/>
        </w:rPr>
        <w:t>为危险废物，</w:t>
      </w:r>
      <w:r>
        <w:rPr>
          <w:rFonts w:hint="eastAsia" w:ascii="仿宋_GB2312" w:hAnsi="仿宋_GB2312" w:eastAsia="仿宋_GB2312" w:cs="仿宋_GB2312"/>
          <w:color w:val="auto"/>
          <w:spacing w:val="-6"/>
          <w:sz w:val="32"/>
          <w:szCs w:val="32"/>
          <w:lang w:val="en-US" w:eastAsia="zh-CN"/>
        </w:rPr>
        <w:t>暂存于危废暂存间内</w:t>
      </w:r>
      <w:r>
        <w:rPr>
          <w:rFonts w:hint="default" w:ascii="仿宋_GB2312" w:hAnsi="仿宋_GB2312" w:eastAsia="仿宋_GB2312" w:cs="仿宋_GB2312"/>
          <w:color w:val="auto"/>
          <w:spacing w:val="-6"/>
          <w:sz w:val="32"/>
          <w:szCs w:val="32"/>
          <w:lang w:val="en-US" w:eastAsia="zh-CN"/>
        </w:rPr>
        <w:t>，定期交由具有危废处置资质单位处理</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w:t>
      </w:r>
      <w:r>
        <w:rPr>
          <w:rFonts w:hint="default" w:ascii="仿宋_GB2312" w:hAnsi="仿宋_GB2312" w:eastAsia="仿宋_GB2312" w:cs="仿宋_GB2312"/>
          <w:color w:val="auto"/>
          <w:spacing w:val="-6"/>
          <w:sz w:val="32"/>
          <w:szCs w:val="32"/>
        </w:rPr>
        <w:t>一般固体废物须</w:t>
      </w:r>
      <w:r>
        <w:rPr>
          <w:rFonts w:hint="eastAsia" w:ascii="仿宋_GB2312" w:hAnsi="仿宋_GB2312" w:eastAsia="仿宋_GB2312" w:cs="仿宋_GB2312"/>
          <w:color w:val="auto"/>
          <w:spacing w:val="-6"/>
          <w:sz w:val="32"/>
          <w:szCs w:val="32"/>
          <w:lang w:val="en-US" w:eastAsia="zh-CN"/>
        </w:rPr>
        <w:t>按照《中华人民共和国固体废物污染环境防治法》（2020年9月1日施行）的相关要求，采取防扬散、防流失、防渗漏等措施</w:t>
      </w:r>
      <w:r>
        <w:rPr>
          <w:rFonts w:hint="default"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危险废物及危险废物暂存库须满足</w:t>
      </w:r>
      <w:r>
        <w:rPr>
          <w:rFonts w:hint="eastAsia" w:ascii="仿宋_GB2312" w:hAnsi="仿宋_GB2312" w:eastAsia="仿宋_GB2312" w:cs="仿宋_GB2312"/>
          <w:sz w:val="32"/>
          <w:szCs w:val="32"/>
          <w:highlight w:val="none"/>
        </w:rPr>
        <w:t>《危险废物贮存污染控制标准》</w:t>
      </w:r>
      <w:r>
        <w:rPr>
          <w:rFonts w:hint="eastAsia" w:ascii="仿宋_GB2312" w:hAnsi="仿宋_GB2312" w:eastAsia="仿宋_GB2312" w:cs="仿宋_GB2312"/>
          <w:color w:val="auto"/>
          <w:spacing w:val="-6"/>
          <w:sz w:val="32"/>
          <w:szCs w:val="32"/>
        </w:rPr>
        <w:t>（GB18597-2023）</w:t>
      </w:r>
      <w:r>
        <w:rPr>
          <w:rFonts w:hint="default" w:ascii="仿宋_GB2312" w:hAnsi="仿宋_GB2312" w:eastAsia="仿宋_GB2312" w:cs="仿宋_GB2312"/>
          <w:color w:val="auto"/>
          <w:spacing w:val="-6"/>
          <w:sz w:val="32"/>
          <w:szCs w:val="32"/>
        </w:rPr>
        <w:t>要求</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。加强风险源管控，严格落实《报告表》中环境风险防范措施，编写突发环境事件应急预案、备案，并与当地政府及相关部门应急预案做好衔接，定期进行应急培训和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、资规局等相关部门，日常监督管理由秦皇岛市生态环境局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负责。建设单位须定期向秦皇岛市生态环境局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default" w:ascii="仿宋_GB2312" w:hAnsi="仿宋_GB2312" w:eastAsia="仿宋_GB2312" w:cs="仿宋_GB2312"/>
          <w:spacing w:val="-6"/>
          <w:sz w:val="32"/>
          <w:szCs w:val="32"/>
          <w:lang w:eastAsia="zh-CN"/>
        </w:rPr>
        <w:t>4</w:t>
      </w:r>
      <w:r>
        <w:rPr>
          <w:rFonts w:hint="eastAsia" w:ascii="仿宋_GB2312" w:hAnsi="仿宋_GB2312" w:eastAsia="仿宋_GB2312" w:cs="仿宋_GB2312"/>
          <w:spacing w:val="-6"/>
          <w:sz w:val="32"/>
          <w:szCs w:val="32"/>
        </w:rPr>
        <w:t>年</w:t>
      </w:r>
      <w:r>
        <w:rPr>
          <w:rFonts w:hint="default" w:ascii="仿宋_GB2312" w:hAnsi="仿宋_GB2312" w:eastAsia="仿宋_GB2312" w:cs="仿宋_GB2312"/>
          <w:spacing w:val="-6"/>
          <w:sz w:val="32"/>
          <w:szCs w:val="32"/>
          <w:lang w:eastAsia="zh-CN"/>
        </w:rPr>
        <w:t>11</w:t>
      </w:r>
      <w:r>
        <w:rPr>
          <w:rFonts w:hint="eastAsia" w:ascii="仿宋_GB2312" w:hAnsi="仿宋_GB2312" w:eastAsia="仿宋_GB2312" w:cs="仿宋_GB2312"/>
          <w:spacing w:val="-6"/>
          <w:sz w:val="32"/>
          <w:szCs w:val="32"/>
        </w:rPr>
        <w:t>月</w:t>
      </w:r>
      <w:r>
        <w:rPr>
          <w:rFonts w:hint="default" w:ascii="仿宋_GB2312" w:hAnsi="仿宋_GB2312" w:eastAsia="仿宋_GB2312" w:cs="仿宋_GB2312"/>
          <w:spacing w:val="-6"/>
          <w:sz w:val="32"/>
          <w:szCs w:val="32"/>
          <w:lang w:eastAsia="zh-CN"/>
        </w:rPr>
        <w:t>4</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5FFA5B8"/>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BAFC89E"/>
    <w:rsid w:val="2BCB4FD1"/>
    <w:rsid w:val="2CAF5097"/>
    <w:rsid w:val="2CDB74AF"/>
    <w:rsid w:val="2CEC5C32"/>
    <w:rsid w:val="2CED5224"/>
    <w:rsid w:val="2DAF126F"/>
    <w:rsid w:val="2E290EE4"/>
    <w:rsid w:val="2E7C66DE"/>
    <w:rsid w:val="2F3B7A37"/>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7F9E04E"/>
    <w:rsid w:val="38807677"/>
    <w:rsid w:val="38ED4A8D"/>
    <w:rsid w:val="39D74A49"/>
    <w:rsid w:val="3A0831CA"/>
    <w:rsid w:val="3A5A3B4E"/>
    <w:rsid w:val="3BBF2232"/>
    <w:rsid w:val="3BF2360E"/>
    <w:rsid w:val="3BFF7C85"/>
    <w:rsid w:val="3C4F8EC4"/>
    <w:rsid w:val="3C624B38"/>
    <w:rsid w:val="3C8DE232"/>
    <w:rsid w:val="3D412847"/>
    <w:rsid w:val="3D4E0F7F"/>
    <w:rsid w:val="3D5B4C61"/>
    <w:rsid w:val="3D620756"/>
    <w:rsid w:val="3D715C36"/>
    <w:rsid w:val="3D95C1D4"/>
    <w:rsid w:val="3DEB59B9"/>
    <w:rsid w:val="3DFFC262"/>
    <w:rsid w:val="3EBB9D42"/>
    <w:rsid w:val="3EDA434E"/>
    <w:rsid w:val="3EFF450E"/>
    <w:rsid w:val="3F7FC6D0"/>
    <w:rsid w:val="3FC755E4"/>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B4355E5"/>
    <w:rsid w:val="4B514EDA"/>
    <w:rsid w:val="4B765E80"/>
    <w:rsid w:val="4BDC1E4C"/>
    <w:rsid w:val="4C767AF2"/>
    <w:rsid w:val="4C8229F4"/>
    <w:rsid w:val="4D010EEB"/>
    <w:rsid w:val="4E005194"/>
    <w:rsid w:val="4F1B43CA"/>
    <w:rsid w:val="4F4A365C"/>
    <w:rsid w:val="4F7505EE"/>
    <w:rsid w:val="4FBF9426"/>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FEEBAA"/>
    <w:rsid w:val="57D7B5B5"/>
    <w:rsid w:val="57DA211C"/>
    <w:rsid w:val="58040325"/>
    <w:rsid w:val="5886351F"/>
    <w:rsid w:val="58DC437F"/>
    <w:rsid w:val="590E0E11"/>
    <w:rsid w:val="596D0588"/>
    <w:rsid w:val="59B7197C"/>
    <w:rsid w:val="5A22466C"/>
    <w:rsid w:val="5A726CD4"/>
    <w:rsid w:val="5A9C6788"/>
    <w:rsid w:val="5AE9060E"/>
    <w:rsid w:val="5AEF02A4"/>
    <w:rsid w:val="5B314F17"/>
    <w:rsid w:val="5B7EE503"/>
    <w:rsid w:val="5BFA3674"/>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F02D3"/>
    <w:rsid w:val="6FFF9A75"/>
    <w:rsid w:val="6FFFD07D"/>
    <w:rsid w:val="701336AB"/>
    <w:rsid w:val="702B15B8"/>
    <w:rsid w:val="730F4AE2"/>
    <w:rsid w:val="73426669"/>
    <w:rsid w:val="736875DA"/>
    <w:rsid w:val="736E6677"/>
    <w:rsid w:val="738B4EA6"/>
    <w:rsid w:val="73F9F200"/>
    <w:rsid w:val="743B1A18"/>
    <w:rsid w:val="74AD223F"/>
    <w:rsid w:val="74DE7F3D"/>
    <w:rsid w:val="74F769B5"/>
    <w:rsid w:val="767F4FE6"/>
    <w:rsid w:val="76C21ABB"/>
    <w:rsid w:val="76C4DCB4"/>
    <w:rsid w:val="76E75AA9"/>
    <w:rsid w:val="777DDBFA"/>
    <w:rsid w:val="779E4CF7"/>
    <w:rsid w:val="77B76890"/>
    <w:rsid w:val="77FEA771"/>
    <w:rsid w:val="77FFCAF9"/>
    <w:rsid w:val="780523AE"/>
    <w:rsid w:val="78A41665"/>
    <w:rsid w:val="78D120BF"/>
    <w:rsid w:val="7A4C55E3"/>
    <w:rsid w:val="7A53410C"/>
    <w:rsid w:val="7A577472"/>
    <w:rsid w:val="7A9279F6"/>
    <w:rsid w:val="7ADD4C29"/>
    <w:rsid w:val="7AFE2822"/>
    <w:rsid w:val="7B7C2B32"/>
    <w:rsid w:val="7B9A1470"/>
    <w:rsid w:val="7BEE3D32"/>
    <w:rsid w:val="7BF59FBC"/>
    <w:rsid w:val="7CA76A30"/>
    <w:rsid w:val="7CBF2C38"/>
    <w:rsid w:val="7D5F4119"/>
    <w:rsid w:val="7D776F44"/>
    <w:rsid w:val="7D7BA38E"/>
    <w:rsid w:val="7D8459A1"/>
    <w:rsid w:val="7DCF8524"/>
    <w:rsid w:val="7DDF0D63"/>
    <w:rsid w:val="7E0FB349"/>
    <w:rsid w:val="7E53808C"/>
    <w:rsid w:val="7EA7853F"/>
    <w:rsid w:val="7ED246D9"/>
    <w:rsid w:val="7EDB1951"/>
    <w:rsid w:val="7EE9F22B"/>
    <w:rsid w:val="7EFF68B1"/>
    <w:rsid w:val="7F294417"/>
    <w:rsid w:val="7F3D240F"/>
    <w:rsid w:val="7F614E20"/>
    <w:rsid w:val="7F6F5A1B"/>
    <w:rsid w:val="7F753E9A"/>
    <w:rsid w:val="7F7E550E"/>
    <w:rsid w:val="7FB7439F"/>
    <w:rsid w:val="7FBF7C51"/>
    <w:rsid w:val="7FD6A27B"/>
    <w:rsid w:val="7FEDA862"/>
    <w:rsid w:val="7FF7817D"/>
    <w:rsid w:val="7FFD5D18"/>
    <w:rsid w:val="7FFD93AA"/>
    <w:rsid w:val="7FFE5E77"/>
    <w:rsid w:val="7FFE63C7"/>
    <w:rsid w:val="8AE3D017"/>
    <w:rsid w:val="93BFFE25"/>
    <w:rsid w:val="93DE4D53"/>
    <w:rsid w:val="97EF0570"/>
    <w:rsid w:val="9EBE6894"/>
    <w:rsid w:val="A7FE46DD"/>
    <w:rsid w:val="ADE1CE1F"/>
    <w:rsid w:val="AFEFD635"/>
    <w:rsid w:val="B2FF2882"/>
    <w:rsid w:val="B67E1F6E"/>
    <w:rsid w:val="B6C51A8E"/>
    <w:rsid w:val="B71EE1DE"/>
    <w:rsid w:val="B77E0A94"/>
    <w:rsid w:val="BADF173F"/>
    <w:rsid w:val="BBEF4A7A"/>
    <w:rsid w:val="BC7F42EB"/>
    <w:rsid w:val="BD760178"/>
    <w:rsid w:val="BD9B4B70"/>
    <w:rsid w:val="BDFA148F"/>
    <w:rsid w:val="BDFDB831"/>
    <w:rsid w:val="BE1DD3DB"/>
    <w:rsid w:val="BFBD08A6"/>
    <w:rsid w:val="BFCC1B63"/>
    <w:rsid w:val="BFF3702B"/>
    <w:rsid w:val="BFF6C44B"/>
    <w:rsid w:val="BFFB8F7B"/>
    <w:rsid w:val="BFFBE771"/>
    <w:rsid w:val="BFFFFC04"/>
    <w:rsid w:val="C87D361C"/>
    <w:rsid w:val="CFBF8861"/>
    <w:rsid w:val="CFFD4A5A"/>
    <w:rsid w:val="D57FEA81"/>
    <w:rsid w:val="D5BF14D1"/>
    <w:rsid w:val="D7F75EDB"/>
    <w:rsid w:val="D97C0045"/>
    <w:rsid w:val="DAED3199"/>
    <w:rsid w:val="DAFD0D04"/>
    <w:rsid w:val="DBE5F7EA"/>
    <w:rsid w:val="DDED9019"/>
    <w:rsid w:val="DDEF3D90"/>
    <w:rsid w:val="DEB62BC2"/>
    <w:rsid w:val="DEEDE229"/>
    <w:rsid w:val="DF9F197B"/>
    <w:rsid w:val="DFDBDF0B"/>
    <w:rsid w:val="DFEDBDD6"/>
    <w:rsid w:val="DFF9D15B"/>
    <w:rsid w:val="DFFBB3EC"/>
    <w:rsid w:val="E0EF55D7"/>
    <w:rsid w:val="E5CE60C7"/>
    <w:rsid w:val="E6BFB65F"/>
    <w:rsid w:val="EA9FADB6"/>
    <w:rsid w:val="EBABD82E"/>
    <w:rsid w:val="EBBA1790"/>
    <w:rsid w:val="EEEF6478"/>
    <w:rsid w:val="EFBFE229"/>
    <w:rsid w:val="EFFF7259"/>
    <w:rsid w:val="F175C4DB"/>
    <w:rsid w:val="F2F2EE95"/>
    <w:rsid w:val="F69D31A6"/>
    <w:rsid w:val="F6EF7FC9"/>
    <w:rsid w:val="F77E3BE2"/>
    <w:rsid w:val="F7A95DB0"/>
    <w:rsid w:val="F7AF9FCD"/>
    <w:rsid w:val="F7B3205D"/>
    <w:rsid w:val="F7B72858"/>
    <w:rsid w:val="FB718D57"/>
    <w:rsid w:val="FBEF2C16"/>
    <w:rsid w:val="FBEFD815"/>
    <w:rsid w:val="FCBFABA4"/>
    <w:rsid w:val="FCFE9610"/>
    <w:rsid w:val="FD8BC96D"/>
    <w:rsid w:val="FDAB0972"/>
    <w:rsid w:val="FDBE76F7"/>
    <w:rsid w:val="FDDF783E"/>
    <w:rsid w:val="FDEB7BD9"/>
    <w:rsid w:val="FDFF482D"/>
    <w:rsid w:val="FE971EC6"/>
    <w:rsid w:val="FEBF7CC7"/>
    <w:rsid w:val="FEBFBB84"/>
    <w:rsid w:val="FF53F2E3"/>
    <w:rsid w:val="FF6FB73B"/>
    <w:rsid w:val="FF7E06D1"/>
    <w:rsid w:val="FF8F2C32"/>
    <w:rsid w:val="FFABAAB9"/>
    <w:rsid w:val="FFBBA604"/>
    <w:rsid w:val="FFBE428E"/>
    <w:rsid w:val="FFD89AE5"/>
    <w:rsid w:val="FFEF790A"/>
    <w:rsid w:val="FFF7D625"/>
    <w:rsid w:val="FFFBB72D"/>
    <w:rsid w:val="FFFF8961"/>
    <w:rsid w:val="FFFFB764"/>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kern w:val="0"/>
      <w:sz w:val="18"/>
      <w:szCs w:val="20"/>
    </w:rPr>
  </w:style>
  <w:style w:type="paragraph" w:styleId="5">
    <w:name w:val="Normal Indent"/>
    <w:basedOn w:val="1"/>
    <w:next w:val="4"/>
    <w:qFormat/>
    <w:uiPriority w:val="0"/>
    <w:pPr>
      <w:adjustRightInd w:val="0"/>
      <w:snapToGrid w:val="0"/>
      <w:spacing w:line="360" w:lineRule="auto"/>
    </w:pPr>
    <w:rPr>
      <w:sz w:val="24"/>
    </w:rPr>
  </w:style>
  <w:style w:type="paragraph" w:styleId="6">
    <w:name w:val="Body Text"/>
    <w:basedOn w:val="1"/>
    <w:next w:val="7"/>
    <w:qFormat/>
    <w:uiPriority w:val="0"/>
    <w:pPr>
      <w:spacing w:line="240" w:lineRule="atLeast"/>
    </w:pPr>
    <w:rPr>
      <w:sz w:val="28"/>
    </w:rPr>
  </w:style>
  <w:style w:type="paragraph" w:customStyle="1" w:styleId="7">
    <w:name w:val="默认段落"/>
    <w:qFormat/>
    <w:uiPriority w:val="0"/>
    <w:pPr>
      <w:widowControl w:val="0"/>
      <w:jc w:val="both"/>
    </w:pPr>
    <w:rPr>
      <w:rFonts w:ascii="Calibri" w:hAnsi="Calibri" w:eastAsia="宋体" w:cs="Times New Roman"/>
      <w:kern w:val="2"/>
      <w:sz w:val="21"/>
      <w:lang w:val="en-US" w:eastAsia="zh-CN" w:bidi="ar-SA"/>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6"/>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2804</Words>
  <Characters>2964</Characters>
  <Lines>24</Lines>
  <Paragraphs>6</Paragraphs>
  <TotalTime>13</TotalTime>
  <ScaleCrop>false</ScaleCrop>
  <LinksUpToDate>false</LinksUpToDate>
  <CharactersWithSpaces>3006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2021-04-01T17:03:00Z</dcterms:created>
  <dc:creator>w's'd</dc:creator>
  <cp:lastModifiedBy>administrator</cp:lastModifiedBy>
  <cp:lastPrinted>2024-06-21T08:47:00Z</cp:lastPrinted>
  <dcterms:modified xsi:type="dcterms:W3CDTF">2024-11-04T15:20:52Z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E42445ABF3E4475B85CC1C4D0BE94ED0_13</vt:lpwstr>
  </property>
</Properties>
</file>