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rPr>
          <w:rFonts w:ascii="Times New Roman" w:cs="宋体" w:hAnsi="Times New Roman"/>
          <w:color w:val="000000"/>
          <w:sz w:val="32"/>
          <w:szCs w:val="32"/>
        </w:rPr>
      </w:pPr>
    </w:p>
    <w:p>
      <w:pPr>
        <w:wordWrap w:val="0"/>
        <w:spacing w:line="700" w:lineRule="exact"/>
        <w:jc w:val="right"/>
        <w:rPr>
          <w:rFonts w:ascii="Times New Roman" w:eastAsia="仿宋_GB2312" w:cs="宋体" w:hAnsi="Times New Roman"/>
          <w:color w:val="000000"/>
          <w:sz w:val="32"/>
          <w:szCs w:val="32"/>
        </w:rPr>
      </w:pPr>
      <w:r>
        <w:rPr>
          <w:rFonts w:ascii="Times New Roman" w:eastAsia="仿宋_GB2312" w:cs="仿宋_GB2312" w:hAnsi="Times New Roman" w:hint="eastAsia"/>
          <w:color w:val="000000"/>
          <w:sz w:val="32"/>
          <w:szCs w:val="32"/>
        </w:rPr>
        <w:t xml:space="preserve"> 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w:t>
      </w:r>
      <w:r>
        <w:rPr>
          <w:rFonts w:ascii="Times New Roman" w:eastAsia="仿宋_GB2312" w:cs="仿宋_GB2312" w:hAnsi="Times New Roman"/>
          <w:color w:val="000000"/>
          <w:sz w:val="32"/>
          <w:szCs w:val="32"/>
        </w:rPr>
        <w:t>11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lang w:val="en-US" w:eastAsia="zh-CN"/>
        </w:rPr>
        <w:t>12</w:t>
      </w:r>
      <w:r>
        <w:rPr>
          <w:rFonts w:ascii="Times New Roman" w:eastAsia="仿宋_GB2312" w:cs="仿宋_GB2312" w:hAnsi="Times New Roman" w:hint="eastAsia"/>
          <w:color w:val="000000"/>
          <w:sz w:val="32"/>
          <w:szCs w:val="32"/>
        </w:rPr>
        <w:t>号</w:t>
      </w:r>
    </w:p>
    <w:p>
      <w:pPr>
        <w:adjustRightInd w:val="0"/>
        <w:snapToGrid w:val="0"/>
        <w:spacing w:line="560" w:lineRule="exact"/>
        <w:jc w:val="center"/>
        <w:rPr>
          <w:rFonts w:ascii="宋体" w:cs="宋体"/>
          <w:b/>
          <w:bCs/>
          <w:color w:val="000000"/>
          <w:kern w:val="0"/>
          <w:sz w:val="44"/>
          <w:szCs w:val="44"/>
          <w:shd w:val="clear" w:color="auto" w:fill="FFFFFF"/>
        </w:rPr>
      </w:pPr>
      <w:r>
        <w:rPr>
          <w:rFonts w:ascii="宋体" w:cs="宋体" w:hint="eastAsia"/>
          <w:b/>
          <w:bCs/>
          <w:color w:val="000000"/>
          <w:kern w:val="0"/>
          <w:sz w:val="44"/>
          <w:szCs w:val="44"/>
          <w:shd w:val="clear" w:color="auto" w:fill="FFFFFF"/>
        </w:rPr>
        <w:t>关于</w:t>
      </w:r>
      <w:bookmarkStart w:id="0" w:name="_Hlk48493511"/>
      <w:r>
        <w:rPr>
          <w:rFonts w:ascii="宋体" w:cs="宋体" w:hint="eastAsia"/>
          <w:b/>
          <w:bCs/>
          <w:color w:val="000000"/>
          <w:kern w:val="0"/>
          <w:sz w:val="44"/>
          <w:szCs w:val="44"/>
          <w:shd w:val="clear" w:color="auto" w:fill="FFFFFF"/>
        </w:rPr>
        <w:t>《</w:t>
      </w:r>
      <w:r>
        <w:rPr>
          <w:rFonts w:ascii="宋体" w:cs="宋体"/>
          <w:b/>
          <w:bCs/>
          <w:color w:val="000000"/>
          <w:kern w:val="0"/>
          <w:sz w:val="44"/>
          <w:szCs w:val="44"/>
          <w:shd w:val="clear" w:color="auto" w:fill="FFFFFF"/>
        </w:rPr>
        <w:t>益海嘉里(秦皇岛)粮油工业有限公司110千伏变电站新建工程</w:t>
      </w:r>
      <w:r>
        <w:rPr>
          <w:rFonts w:ascii="宋体" w:cs="宋体" w:hint="eastAsia"/>
          <w:b/>
          <w:bCs/>
          <w:color w:val="000000"/>
          <w:kern w:val="0"/>
          <w:sz w:val="44"/>
          <w:szCs w:val="44"/>
        </w:rPr>
        <w:t>环境影响报告表》</w:t>
      </w:r>
      <w:bookmarkEnd w:id="0"/>
      <w:r>
        <w:rPr>
          <w:rFonts w:ascii="宋体" w:cs="宋体" w:hint="eastAsia"/>
          <w:b/>
          <w:bCs/>
          <w:color w:val="000000"/>
          <w:kern w:val="0"/>
          <w:sz w:val="44"/>
          <w:szCs w:val="44"/>
          <w:shd w:val="clear" w:color="auto" w:fill="FFFFFF"/>
        </w:rPr>
        <w:t>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735330</wp:posOffset>
                </wp:positionH>
                <wp:positionV relativeFrom="page">
                  <wp:posOffset>9936480</wp:posOffset>
                </wp:positionV>
                <wp:extent cx="6083935" cy="951"/>
                <wp:effectExtent l="0" t="0" r="0" b="0"/>
                <wp:wrapTopAndBottom/>
                <wp:docPr id="7" name="_x0000_s1026"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6 8" o:spid="_x0000_s8" from="57.9pt,782.4pt" to="536.95pt,782.4749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-274320</wp:posOffset>
                </wp:positionH>
                <wp:positionV relativeFrom="margin">
                  <wp:posOffset>445135</wp:posOffset>
                </wp:positionV>
                <wp:extent cx="6083934" cy="952"/>
                <wp:effectExtent l="0" t="0" r="0" b="0"/>
                <wp:wrapTopAndBottom/>
                <wp:docPr id="9" name="_x0000_s1027" hidden="1"/>
                <wp:cNvGraphicFramePr>
                  <a:graphicFrameLocks noChangeAspect="0"/>
                </wp:cNvGraphicFramePr>
                <a:graphic>
                  <a:graphicData uri="http://schemas.microsoft.com/office/word/2010/wordprocessingShape">
                    <wps:wsp>
                      <wps:cNvSpPr/>
                      <wps:spPr>
                        <a:xfrm rot="0">
                          <a:off x="0" y="0"/>
                          <a:ext cx="6083934" cy="952"/>
                        </a:xfrm>
                        <a:prstGeom prst="line"/>
                        <a:noFill/>
                        <a:ln w="698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10" o:spid="_x0000_s10" from="-21.6pt,35.05pt" to="457.44998pt,35.124996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color w:val="000000"/>
          <w:kern w:val="0"/>
          <w:sz w:val="32"/>
          <w:szCs w:val="32"/>
          <w:shd w:val="clear" w:color="auto" w:fill="FFFFFF"/>
        </w:rPr>
        <w:t>益海嘉里(秦皇岛)粮油工业有限公司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hint="eastAsia"/>
          <w:snapToGrid w:val="0"/>
          <w:color w:val="000000"/>
          <w:kern w:val="0"/>
          <w:sz w:val="32"/>
          <w:szCs w:val="32"/>
          <w:lang w:val="en-US" w:eastAsia="zh-CN"/>
        </w:rPr>
      </w:pPr>
      <w:r>
        <w:rPr>
          <w:rFonts w:ascii="仿宋_GB2312" w:eastAsia="仿宋_GB2312" w:cs="仿宋_GB2312" w:hint="eastAsia"/>
          <w:snapToGrid w:val="0"/>
          <w:color w:val="000000"/>
          <w:kern w:val="0"/>
          <w:sz w:val="32"/>
          <w:szCs w:val="32"/>
          <w:shd w:val="clear" w:color="auto" w:fill="FFFFFF"/>
          <w:lang w:val="en-US" w:eastAsia="zh-CN"/>
        </w:rPr>
        <w:t>所报《</w:t>
      </w:r>
      <w:r>
        <w:rPr>
          <w:rFonts w:ascii="仿宋_GB2312" w:eastAsia="仿宋_GB2312" w:cs="仿宋_GB2312"/>
          <w:color w:val="000000"/>
          <w:kern w:val="0"/>
          <w:sz w:val="32"/>
          <w:szCs w:val="32"/>
          <w:shd w:val="clear" w:color="auto" w:fill="FFFFFF"/>
        </w:rPr>
        <w:t>益海嘉里(秦皇岛)粮油工业有限公司110千伏变电站新建工程</w:t>
      </w:r>
      <w:r>
        <w:rPr>
          <w:rFonts w:ascii="仿宋_GB2312" w:eastAsia="仿宋_GB2312" w:cs="仿宋_GB2312" w:hint="eastAsia"/>
          <w:snapToGrid w:val="0"/>
          <w:color w:val="000000"/>
          <w:kern w:val="0"/>
          <w:sz w:val="32"/>
          <w:szCs w:val="32"/>
          <w:shd w:val="clear" w:color="auto" w:fill="FFFFFF"/>
          <w:lang w:val="en-US" w:eastAsia="zh-CN"/>
        </w:rPr>
        <w:t>环境影响报告表》(以下简称《报告表》)</w:t>
      </w:r>
      <w:r>
        <w:rPr>
          <w:rFonts w:ascii="仿宋_GB2312" w:eastAsia="仿宋_GB2312" w:cs="仿宋_GB2312" w:hint="eastAsia"/>
          <w:color w:val="000000"/>
          <w:kern w:val="0"/>
          <w:sz w:val="32"/>
          <w:szCs w:val="32"/>
          <w:shd w:val="clear" w:color="auto" w:fill="FFFFFF"/>
        </w:rPr>
        <w:t>审批申请</w:t>
      </w:r>
      <w:r>
        <w:rPr>
          <w:rFonts w:ascii="仿宋_GB2312" w:eastAsia="仿宋_GB2312" w:cs="仿宋_GB2312" w:hint="eastAsia"/>
          <w:snapToGrid w:val="0"/>
          <w:color w:val="000000"/>
          <w:kern w:val="0"/>
          <w:sz w:val="32"/>
          <w:szCs w:val="32"/>
          <w:shd w:val="clear" w:color="auto" w:fill="FFFFFF"/>
          <w:lang w:val="en-US" w:eastAsia="zh-CN"/>
        </w:rPr>
        <w:t>及相关申报材料收悉。</w:t>
      </w:r>
      <w:r>
        <w:rPr>
          <w:rFonts w:ascii="仿宋_GB2312" w:eastAsia="仿宋_GB2312" w:cs="仿宋_GB2312" w:hint="eastAsia"/>
          <w:color w:val="000000"/>
          <w:kern w:val="0"/>
          <w:sz w:val="32"/>
          <w:szCs w:val="32"/>
        </w:rPr>
        <w:t>结合</w:t>
      </w:r>
      <w:r>
        <w:rPr>
          <w:rFonts w:ascii="仿宋_GB2312" w:eastAsia="仿宋_GB2312" w:cs="仿宋_GB2312" w:hint="eastAsia"/>
          <w:snapToGrid w:val="0"/>
          <w:color w:val="000000"/>
          <w:kern w:val="0"/>
          <w:sz w:val="32"/>
          <w:szCs w:val="32"/>
          <w:lang w:val="en-US" w:eastAsia="zh-CN"/>
        </w:rPr>
        <w:t>《</w:t>
      </w:r>
      <w:r>
        <w:rPr>
          <w:rFonts w:ascii="仿宋_GB2312" w:eastAsia="仿宋_GB2312" w:cs="仿宋_GB2312"/>
          <w:color w:val="000000"/>
          <w:kern w:val="0"/>
          <w:sz w:val="32"/>
          <w:szCs w:val="32"/>
        </w:rPr>
        <w:t>益海嘉里(秦皇岛)粮油工业有限公司110kV变电站新建工程</w:t>
      </w:r>
      <w:r>
        <w:rPr>
          <w:rFonts w:ascii="仿宋_GB2312" w:eastAsia="仿宋_GB2312" w:cs="仿宋_GB2312" w:hint="eastAsia"/>
          <w:snapToGrid w:val="0"/>
          <w:color w:val="000000"/>
          <w:kern w:val="0"/>
          <w:sz w:val="32"/>
          <w:szCs w:val="32"/>
          <w:lang w:val="en-US" w:eastAsia="zh-CN"/>
        </w:rPr>
        <w:t>环境影响报告表技术评估意见》</w:t>
      </w:r>
      <w:r>
        <w:rPr>
          <w:rFonts w:ascii="仿宋_GB2312" w:eastAsia="仿宋_GB2312" w:cs="仿宋_GB2312" w:hint="eastAsia"/>
          <w:color w:val="000000"/>
          <w:spacing w:val="0"/>
          <w:kern w:val="0"/>
          <w:sz w:val="32"/>
          <w:szCs w:val="32"/>
          <w:lang w:eastAsia="zh-CN"/>
        </w:rPr>
        <w:t>（绿秦环评[202</w:t>
      </w:r>
      <w:r>
        <w:rPr>
          <w:rFonts w:ascii="仿宋_GB2312" w:eastAsia="仿宋_GB2312" w:cs="仿宋_GB2312"/>
          <w:color w:val="000000"/>
          <w:spacing w:val="0"/>
          <w:kern w:val="0"/>
          <w:sz w:val="32"/>
          <w:szCs w:val="32"/>
          <w:lang w:eastAsia="zh-CN"/>
        </w:rPr>
        <w:t>4</w:t>
      </w:r>
      <w:r>
        <w:rPr>
          <w:rFonts w:ascii="仿宋_GB2312" w:eastAsia="仿宋_GB2312" w:cs="仿宋_GB2312" w:hint="eastAsia"/>
          <w:color w:val="000000"/>
          <w:spacing w:val="0"/>
          <w:kern w:val="0"/>
          <w:sz w:val="32"/>
          <w:szCs w:val="32"/>
          <w:lang w:eastAsia="zh-CN"/>
        </w:rPr>
        <w:t>]0</w:t>
      </w:r>
      <w:r>
        <w:rPr>
          <w:rFonts w:ascii="仿宋_GB2312" w:eastAsia="仿宋_GB2312" w:cs="仿宋_GB2312"/>
          <w:color w:val="000000"/>
          <w:spacing w:val="0"/>
          <w:kern w:val="0"/>
          <w:sz w:val="32"/>
          <w:szCs w:val="32"/>
          <w:lang w:val="en-US" w:eastAsia="zh-CN"/>
        </w:rPr>
        <w:t>28</w:t>
      </w:r>
      <w:r>
        <w:rPr>
          <w:rFonts w:ascii="仿宋_GB2312" w:eastAsia="仿宋_GB2312" w:cs="仿宋_GB2312" w:hint="eastAsia"/>
          <w:color w:val="000000"/>
          <w:spacing w:val="0"/>
          <w:kern w:val="0"/>
          <w:sz w:val="32"/>
          <w:szCs w:val="32"/>
          <w:lang w:eastAsia="zh-CN"/>
        </w:rPr>
        <w:t>号）</w:t>
      </w:r>
      <w:r>
        <w:rPr>
          <w:rFonts w:ascii="仿宋_GB2312" w:eastAsia="仿宋_GB2312" w:cs="仿宋_GB2312" w:hint="eastAsia"/>
          <w:snapToGrid w:val="0"/>
          <w:color w:val="000000"/>
          <w:kern w:val="0"/>
          <w:sz w:val="32"/>
          <w:szCs w:val="32"/>
          <w:lang w:val="en-US" w:eastAsia="zh-CN"/>
        </w:rPr>
        <w:t>，经研究，现批复如下：</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snapToGrid w:val="0"/>
          <w:color w:val="000000"/>
          <w:kern w:val="0"/>
          <w:sz w:val="32"/>
          <w:szCs w:val="32"/>
          <w:shd w:val="clear" w:color="auto" w:fill="FFFFFF"/>
          <w:lang w:val="en-US" w:eastAsia="zh-CN"/>
        </w:rPr>
      </w:pPr>
      <w:r>
        <w:rPr>
          <w:rFonts w:ascii="仿宋_GB2312" w:eastAsia="仿宋_GB2312" w:cs="仿宋_GB2312"/>
          <w:color w:val="000000"/>
          <w:kern w:val="0"/>
          <w:sz w:val="32"/>
          <w:szCs w:val="32"/>
          <w:shd w:val="clear" w:color="auto" w:fill="FFFFFF"/>
        </w:rPr>
        <w:t>一、</w:t>
      </w:r>
      <w:r>
        <w:rPr>
          <w:rFonts w:ascii="仿宋_GB2312" w:eastAsia="仿宋_GB2312" w:cs="仿宋_GB2312" w:hint="eastAsia"/>
          <w:color w:val="000000"/>
          <w:kern w:val="0"/>
          <w:sz w:val="32"/>
          <w:szCs w:val="32"/>
          <w:shd w:val="clear" w:color="auto" w:fill="FFFFFF"/>
        </w:rPr>
        <w:t>项目</w:t>
      </w:r>
      <w:r>
        <w:rPr>
          <w:rFonts w:ascii="仿宋_GB2312" w:eastAsia="仿宋_GB2312" w:cs="仿宋_GB2312" w:hint="eastAsia"/>
          <w:color w:val="000000"/>
          <w:spacing w:val="0"/>
          <w:kern w:val="0"/>
          <w:sz w:val="32"/>
          <w:szCs w:val="32"/>
          <w:shd w:val="clear" w:color="auto" w:fill="FFFFFF"/>
        </w:rPr>
        <w:t>主要建设</w:t>
      </w:r>
      <w:r>
        <w:rPr>
          <w:rFonts w:ascii="仿宋_GB2312" w:eastAsia="仿宋_GB2312" w:cs="仿宋_GB2312" w:hint="eastAsia"/>
          <w:color w:val="000000"/>
          <w:kern w:val="0"/>
          <w:sz w:val="32"/>
          <w:szCs w:val="32"/>
          <w:shd w:val="clear" w:color="auto" w:fill="FFFFFF"/>
        </w:rPr>
        <w:t>内容及总体要求。</w:t>
      </w:r>
      <w:r>
        <w:rPr>
          <w:rFonts w:ascii="仿宋_GB2312" w:eastAsia="仿宋_GB2312" w:cs="仿宋_GB2312"/>
          <w:snapToGrid w:val="0"/>
          <w:color w:val="000000"/>
          <w:kern w:val="0"/>
          <w:sz w:val="32"/>
          <w:szCs w:val="32"/>
          <w:shd w:val="clear" w:color="auto" w:fill="FFFFFF"/>
        </w:rPr>
        <w:t>项目位于</w:t>
      </w:r>
      <w:r>
        <w:rPr>
          <w:rFonts w:ascii="仿宋_GB2312" w:eastAsia="仿宋_GB2312" w:cs="仿宋_GB2312"/>
          <w:snapToGrid w:val="0"/>
          <w:color w:val="000000"/>
          <w:kern w:val="0"/>
          <w:sz w:val="32"/>
          <w:szCs w:val="32"/>
          <w:shd w:val="clear" w:color="auto" w:fill="FFFFFF"/>
          <w:lang w:val="en-US" w:eastAsia="zh-CN"/>
        </w:rPr>
        <w:t>秦皇岛市海港区卸粮口村南侧海港粮油食品加工仓储园内,益海嘉里(秦皇岛)粮油工业有限公司新厂区内北侧。拟建110</w:t>
      </w:r>
      <w:r>
        <w:rPr>
          <w:rFonts w:ascii="仿宋_GB2312" w:eastAsia="仿宋_GB2312" w:cs="仿宋_GB2312"/>
          <w:color w:val="000000"/>
          <w:kern w:val="0"/>
          <w:sz w:val="32"/>
          <w:szCs w:val="32"/>
          <w:shd w:val="clear" w:color="auto" w:fill="FFFFFF"/>
        </w:rPr>
        <w:t>kV变电站一座，</w:t>
      </w:r>
      <w:r>
        <w:rPr>
          <w:rFonts w:ascii="仿宋_GB2312" w:eastAsia="仿宋_GB2312" w:cs="仿宋_GB2312"/>
          <w:snapToGrid w:val="0"/>
          <w:color w:val="000000"/>
          <w:kern w:val="0"/>
          <w:sz w:val="32"/>
          <w:szCs w:val="32"/>
          <w:shd w:val="clear" w:color="auto" w:fill="FFFFFF"/>
          <w:lang w:val="en-US" w:eastAsia="zh-CN"/>
        </w:rPr>
        <w:t>变电</w:t>
      </w:r>
      <w:r>
        <w:rPr>
          <w:rFonts w:ascii="仿宋_GB2312" w:eastAsia="仿宋_GB2312" w:cs="仿宋_GB2312" w:hint="eastAsia"/>
          <w:snapToGrid w:val="0"/>
          <w:color w:val="000000"/>
          <w:kern w:val="0"/>
          <w:sz w:val="32"/>
          <w:szCs w:val="32"/>
          <w:shd w:val="clear" w:color="auto" w:fill="FFFFFF"/>
          <w:lang w:val="en-US" w:eastAsia="zh-CN"/>
        </w:rPr>
        <w:t>站规划主变容量为</w:t>
      </w:r>
      <w:r>
        <w:rPr>
          <w:rFonts w:ascii="仿宋_GB2312" w:eastAsia="仿宋_GB2312" w:cs="仿宋_GB2312"/>
          <w:snapToGrid w:val="0"/>
          <w:color w:val="000000"/>
          <w:kern w:val="0"/>
          <w:sz w:val="32"/>
          <w:szCs w:val="32"/>
          <w:shd w:val="clear" w:color="auto" w:fill="FFFFFF"/>
          <w:lang w:val="en-US" w:eastAsia="zh-CN"/>
        </w:rPr>
        <w:t>1x40MVA+1x25MVA，本期主变容量为1x40MVA，电压等级为110/10kV,主变户内布置,110kV配电装置采用户内GIS</w:t>
      </w:r>
      <w:r>
        <w:rPr>
          <w:rFonts w:ascii="仿宋_GB2312" w:eastAsia="仿宋_GB2312" w:cs="仿宋_GB2312" w:hint="eastAsia"/>
          <w:snapToGrid w:val="0"/>
          <w:color w:val="000000"/>
          <w:kern w:val="0"/>
          <w:sz w:val="32"/>
          <w:szCs w:val="32"/>
          <w:shd w:val="clear" w:color="auto" w:fill="FFFFFF"/>
          <w:lang w:val="en-US" w:eastAsia="zh-CN"/>
        </w:rPr>
        <w:t>布置</w:t>
      </w:r>
      <w:r>
        <w:rPr>
          <w:rFonts w:ascii="仿宋_GB2312" w:eastAsia="仿宋_GB2312" w:cs="仿宋_GB2312"/>
          <w:snapToGrid w:val="0"/>
          <w:color w:val="000000"/>
          <w:kern w:val="0"/>
          <w:sz w:val="32"/>
          <w:szCs w:val="32"/>
          <w:shd w:val="clear" w:color="auto" w:fill="FFFFFF"/>
          <w:lang w:val="en-US" w:eastAsia="zh-CN"/>
        </w:rPr>
        <w:t>。</w:t>
      </w:r>
      <w:r>
        <w:rPr>
          <w:rFonts w:ascii="仿宋_GB2312" w:eastAsia="仿宋_GB2312" w:cs="仿宋_GB2312" w:hint="eastAsia"/>
          <w:color w:val="000000"/>
          <w:kern w:val="0"/>
          <w:sz w:val="32"/>
          <w:szCs w:val="32"/>
          <w:shd w:val="clear" w:color="auto" w:fill="FFFFFF"/>
        </w:rPr>
        <w:t>本项目</w:t>
      </w:r>
      <w:r>
        <w:rPr>
          <w:rFonts w:ascii="仿宋_GB2312" w:eastAsia="仿宋_GB2312" w:cs="仿宋_GB2312" w:hint="eastAsia"/>
          <w:color w:val="000000"/>
          <w:kern w:val="0"/>
          <w:sz w:val="32"/>
          <w:szCs w:val="32"/>
          <w:shd w:val="clear" w:color="auto" w:fill="FFFFFF"/>
          <w:lang w:val="en-US" w:eastAsia="zh-CN"/>
        </w:rPr>
        <w:t>仅对</w:t>
      </w:r>
      <w:r>
        <w:rPr>
          <w:rFonts w:ascii="仿宋_GB2312" w:eastAsia="仿宋_GB2312" w:cs="仿宋_GB2312"/>
          <w:snapToGrid w:val="0"/>
          <w:color w:val="000000"/>
          <w:kern w:val="0"/>
          <w:sz w:val="32"/>
          <w:szCs w:val="32"/>
          <w:shd w:val="clear" w:color="auto" w:fill="FFFFFF"/>
          <w:lang w:val="en-US" w:eastAsia="zh-CN"/>
        </w:rPr>
        <w:t>110</w:t>
      </w:r>
      <w:r>
        <w:rPr>
          <w:rFonts w:ascii="仿宋_GB2312" w:eastAsia="仿宋_GB2312" w:cs="仿宋_GB2312"/>
          <w:color w:val="000000"/>
          <w:kern w:val="0"/>
          <w:sz w:val="32"/>
          <w:szCs w:val="32"/>
          <w:shd w:val="clear" w:color="auto" w:fill="FFFFFF"/>
        </w:rPr>
        <w:t>kV变电站</w:t>
      </w:r>
      <w:r>
        <w:rPr>
          <w:rFonts w:ascii="仿宋_GB2312" w:eastAsia="仿宋_GB2312" w:cs="仿宋_GB2312" w:hint="eastAsia"/>
          <w:snapToGrid w:val="0"/>
          <w:color w:val="000000"/>
          <w:kern w:val="0"/>
          <w:sz w:val="32"/>
          <w:szCs w:val="32"/>
          <w:shd w:val="clear" w:color="auto" w:fill="FFFFFF"/>
          <w:lang w:val="en-US" w:eastAsia="zh-CN"/>
        </w:rPr>
        <w:t>进行评价，</w:t>
      </w:r>
      <w:r>
        <w:rPr>
          <w:rFonts w:ascii="仿宋_GB2312" w:eastAsia="仿宋_GB2312" w:cs="仿宋_GB2312" w:hint="eastAsia"/>
          <w:color w:val="000000"/>
          <w:kern w:val="0"/>
          <w:sz w:val="32"/>
          <w:szCs w:val="32"/>
          <w:shd w:val="clear" w:color="auto" w:fill="FFFFFF"/>
        </w:rPr>
        <w:t>不涉及输电线路</w:t>
      </w:r>
      <w:r>
        <w:rPr>
          <w:rFonts w:ascii="仿宋_GB2312" w:eastAsia="仿宋_GB2312" w:cs="仿宋_GB2312" w:hint="eastAsia"/>
          <w:color w:val="000000"/>
          <w:kern w:val="0"/>
          <w:sz w:val="32"/>
          <w:szCs w:val="32"/>
          <w:shd w:val="clear" w:color="auto" w:fill="FFFFFF"/>
          <w:lang w:val="en-US" w:eastAsia="zh-CN"/>
        </w:rPr>
        <w:t>等其他内容。</w:t>
      </w:r>
      <w:r>
        <w:rPr>
          <w:rFonts w:ascii="仿宋_GB2312" w:eastAsia="仿宋_GB2312" w:cs="仿宋_GB2312" w:hint="eastAsia"/>
          <w:color w:val="000000"/>
          <w:kern w:val="0"/>
          <w:sz w:val="32"/>
          <w:szCs w:val="32"/>
          <w:shd w:val="clear" w:color="auto" w:fill="FFFFFF"/>
        </w:rPr>
        <w:t>项目总投资</w:t>
      </w:r>
      <w:r>
        <w:rPr>
          <w:rFonts w:ascii="仿宋_GB2312" w:eastAsia="仿宋_GB2312" w:cs="仿宋_GB2312"/>
          <w:color w:val="000000"/>
          <w:kern w:val="0"/>
          <w:sz w:val="32"/>
          <w:szCs w:val="32"/>
          <w:shd w:val="clear" w:color="auto" w:fill="FFFFFF"/>
        </w:rPr>
        <w:t>3000</w:t>
      </w:r>
      <w:r>
        <w:rPr>
          <w:rFonts w:ascii="仿宋_GB2312" w:eastAsia="仿宋_GB2312" w:cs="仿宋_GB2312" w:hint="eastAsia"/>
          <w:color w:val="000000"/>
          <w:kern w:val="0"/>
          <w:sz w:val="32"/>
          <w:szCs w:val="32"/>
          <w:shd w:val="clear" w:color="auto" w:fill="FFFFFF"/>
        </w:rPr>
        <w:t>万元，其中环保投资为</w:t>
      </w:r>
      <w:r>
        <w:rPr>
          <w:rFonts w:ascii="仿宋_GB2312" w:eastAsia="仿宋_GB2312" w:cs="仿宋_GB2312"/>
          <w:color w:val="000000"/>
          <w:kern w:val="0"/>
          <w:sz w:val="32"/>
          <w:szCs w:val="32"/>
          <w:shd w:val="clear" w:color="auto" w:fill="FFFFFF"/>
        </w:rPr>
        <w:t>18</w:t>
      </w:r>
      <w:r>
        <w:rPr>
          <w:rFonts w:ascii="仿宋_GB2312" w:eastAsia="仿宋_GB2312" w:cs="仿宋_GB2312" w:hint="eastAsia"/>
          <w:color w:val="000000"/>
          <w:kern w:val="0"/>
          <w:sz w:val="32"/>
          <w:szCs w:val="32"/>
          <w:shd w:val="clear" w:color="auto" w:fill="FFFFFF"/>
        </w:rPr>
        <w:t>万元，占总投资的</w:t>
      </w:r>
      <w:r>
        <w:rPr>
          <w:rFonts w:ascii="仿宋_GB2312" w:eastAsia="仿宋_GB2312" w:cs="仿宋_GB2312"/>
          <w:color w:val="000000"/>
          <w:kern w:val="0"/>
          <w:sz w:val="32"/>
          <w:szCs w:val="32"/>
          <w:shd w:val="clear" w:color="auto" w:fill="FFFFFF"/>
        </w:rPr>
        <w:t>0.6%。</w:t>
      </w:r>
      <w:r>
        <w:rPr>
          <w:rFonts w:ascii="仿宋_GB2312" w:eastAsia="仿宋_GB2312" w:cs="仿宋_GB2312" w:hint="eastAsia"/>
          <w:color w:val="000000"/>
          <w:kern w:val="0"/>
          <w:sz w:val="32"/>
          <w:szCs w:val="32"/>
          <w:shd w:val="clear" w:color="auto" w:fill="FFFFFF"/>
          <w:lang w:eastAsia="zh-CN"/>
        </w:rPr>
        <w:t>项目须符合国家及地方产业政策</w:t>
      </w:r>
      <w:r>
        <w:rPr>
          <w:rFonts w:ascii="仿宋_GB2312" w:eastAsia="仿宋_GB2312" w:cs="仿宋_GB2312" w:hint="eastAsia"/>
          <w:color w:val="000000"/>
          <w:kern w:val="0"/>
          <w:sz w:val="32"/>
          <w:szCs w:val="32"/>
          <w:shd w:val="clear" w:color="auto" w:fill="FFFFFF"/>
          <w:lang w:val="en-US" w:eastAsia="zh-CN"/>
        </w:rPr>
        <w:t>等要求</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项目实施须符</w:t>
      </w:r>
      <w:r>
        <w:rPr>
          <w:rFonts w:ascii="仿宋_GB2312" w:eastAsia="仿宋_GB2312" w:cs="仿宋_GB2312" w:hint="eastAsia"/>
          <w:color w:val="000000"/>
          <w:kern w:val="0"/>
          <w:sz w:val="32"/>
          <w:szCs w:val="32"/>
        </w:rPr>
        <w:t>合</w:t>
      </w:r>
      <w:r>
        <w:rPr>
          <w:rFonts w:ascii="仿宋_GB2312" w:eastAsia="仿宋_GB2312" w:cs="仿宋_GB2312" w:hint="eastAsia"/>
          <w:color w:val="000000"/>
          <w:kern w:val="0"/>
          <w:sz w:val="32"/>
          <w:szCs w:val="32"/>
          <w:lang w:val="en-US" w:eastAsia="zh-CN"/>
        </w:rPr>
        <w:t>相关规划、</w:t>
      </w:r>
      <w:r>
        <w:rPr>
          <w:rFonts w:ascii="仿宋_GB2312" w:eastAsia="仿宋_GB2312" w:cs="仿宋_GB2312" w:hint="eastAsia"/>
          <w:color w:val="000000"/>
          <w:kern w:val="0"/>
          <w:sz w:val="32"/>
          <w:szCs w:val="32"/>
        </w:rPr>
        <w:t>“三线一单”管控等要求</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项目建设须符合城乡建设、土地利用</w:t>
      </w:r>
      <w:r>
        <w:rPr>
          <w:rFonts w:ascii="仿宋_GB2312" w:eastAsia="仿宋_GB2312" w:cs="仿宋_GB2312" w:hint="eastAsia"/>
          <w:color w:val="000000"/>
          <w:kern w:val="0"/>
          <w:sz w:val="32"/>
          <w:szCs w:val="32"/>
          <w:lang w:eastAsia="zh-CN"/>
        </w:rPr>
        <w:t>、地方产业布局</w:t>
      </w:r>
      <w:r>
        <w:rPr>
          <w:rFonts w:ascii="仿宋_GB2312" w:eastAsia="仿宋_GB2312" w:cs="仿宋_GB2312" w:hint="eastAsia"/>
          <w:color w:val="000000"/>
          <w:kern w:val="0"/>
          <w:sz w:val="32"/>
          <w:szCs w:val="32"/>
        </w:rPr>
        <w:t>等相关规划要求。</w:t>
      </w:r>
      <w:r>
        <w:rPr>
          <w:rFonts w:ascii="仿宋_GB2312" w:eastAsia="仿宋_GB2312" w:cs="仿宋_GB2312" w:hint="eastAsia"/>
          <w:color w:val="000000"/>
          <w:kern w:val="0"/>
          <w:sz w:val="32"/>
          <w:szCs w:val="32"/>
          <w:shd w:val="clear" w:color="auto" w:fill="FFFFFF"/>
          <w:lang w:eastAsia="zh-CN"/>
        </w:rPr>
        <w:t>项目须</w:t>
      </w:r>
      <w:r>
        <w:rPr>
          <w:rFonts w:ascii="仿宋_GB2312" w:eastAsia="仿宋_GB2312" w:cs="仿宋_GB2312" w:hint="eastAsia"/>
          <w:color w:val="000000"/>
          <w:kern w:val="0"/>
          <w:sz w:val="32"/>
          <w:szCs w:val="32"/>
          <w:shd w:val="clear" w:color="auto" w:fill="FFFFFF"/>
          <w:lang w:val="en-US" w:eastAsia="zh-CN"/>
        </w:rPr>
        <w:t>符合</w:t>
      </w:r>
      <w:r>
        <w:rPr>
          <w:rFonts w:ascii="仿宋_GB2312" w:eastAsia="仿宋_GB2312" w:cs="仿宋_GB2312" w:hint="eastAsia"/>
          <w:color w:val="000000"/>
          <w:kern w:val="0"/>
          <w:sz w:val="32"/>
          <w:szCs w:val="32"/>
          <w:shd w:val="clear" w:color="auto" w:fill="FFFFFF"/>
          <w:lang w:eastAsia="zh-CN"/>
        </w:rPr>
        <w:t>《秦皇岛市人民政府关于秦皇岛市“三线一单”生态环境分区管控的实施意见》（秦政字[2021]6号）、《</w:t>
      </w:r>
      <w:r>
        <w:rPr>
          <w:rFonts w:ascii="仿宋_GB2312" w:eastAsia="仿宋_GB2312" w:cs="仿宋_GB2312" w:hint="eastAsia"/>
          <w:iCs w:val="0"/>
          <w:caps w:val="0"/>
          <w:smallCaps w:val="0"/>
          <w:color w:val="000000"/>
          <w:kern w:val="0"/>
          <w:sz w:val="32"/>
          <w:szCs w:val="32"/>
          <w:shd w:val="clear" w:color="auto" w:fill="FFFFFF"/>
        </w:rPr>
        <w:t>秦皇岛市人民政府办公室关于印发〈秦皇岛市生态环境准入清单（更新）〉的通知</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、《秦皇岛市人民政府办公室关于实施生态环境分区管控动态更新成果的通知》</w:t>
      </w:r>
      <w:r>
        <w:rPr>
          <w:rFonts w:ascii="仿宋_GB2312" w:eastAsia="仿宋_GB2312" w:cs="仿宋_GB2312" w:hint="eastAsia"/>
          <w:color w:val="000000"/>
          <w:kern w:val="0"/>
          <w:sz w:val="32"/>
          <w:szCs w:val="32"/>
          <w:shd w:val="clear" w:color="auto" w:fill="FFFFFF"/>
          <w:lang w:eastAsia="zh-CN"/>
        </w:rPr>
        <w:t>等文件要求。</w:t>
      </w:r>
      <w:r>
        <w:rPr>
          <w:rFonts w:ascii="仿宋_GB2312" w:eastAsia="仿宋_GB2312" w:cs="仿宋_GB2312" w:hint="eastAsia"/>
          <w:color w:val="000000"/>
          <w:kern w:val="0"/>
          <w:sz w:val="32"/>
          <w:szCs w:val="32"/>
          <w:shd w:val="clear" w:color="auto" w:fill="FFFFFF"/>
          <w:lang w:val="en-US" w:eastAsia="zh-CN"/>
        </w:rPr>
        <w:t>项目</w:t>
      </w:r>
      <w:r>
        <w:rPr>
          <w:rFonts w:ascii="仿宋_GB2312" w:eastAsia="仿宋_GB2312" w:cs="仿宋_GB2312" w:hint="eastAsia"/>
          <w:color w:val="000000"/>
          <w:kern w:val="0"/>
          <w:sz w:val="32"/>
          <w:szCs w:val="32"/>
          <w:shd w:val="clear" w:color="auto" w:fill="FFFFFF"/>
          <w:lang w:eastAsia="zh-CN"/>
        </w:rPr>
        <w:t>已</w:t>
      </w:r>
      <w:r>
        <w:rPr>
          <w:rFonts w:ascii="仿宋_GB2312" w:eastAsia="仿宋_GB2312" w:cs="仿宋_GB2312"/>
          <w:color w:val="000000"/>
          <w:kern w:val="0"/>
          <w:sz w:val="32"/>
          <w:szCs w:val="32"/>
          <w:shd w:val="clear" w:color="auto" w:fill="FFFFFF"/>
          <w:lang w:eastAsia="zh-CN"/>
        </w:rPr>
        <w:t>经过秦皇岛市海港区发展和改革局备案（备案编号:海发改备</w:t>
      </w:r>
      <w:r>
        <w:rPr>
          <w:rFonts w:ascii="仿宋_GB2312" w:eastAsia="仿宋_GB2312" w:cs="仿宋_GB2312" w:hint="eastAsia"/>
          <w:color w:val="000000"/>
          <w:kern w:val="0"/>
          <w:sz w:val="32"/>
          <w:szCs w:val="32"/>
          <w:shd w:val="clear" w:color="auto" w:fill="FFFFFF"/>
          <w:lang w:eastAsia="zh-CN"/>
        </w:rPr>
        <w:t>〔202</w:t>
      </w:r>
      <w:r>
        <w:rPr>
          <w:rFonts w:ascii="仿宋_GB2312" w:eastAsia="仿宋_GB2312" w:cs="仿宋_GB2312"/>
          <w:color w:val="000000"/>
          <w:kern w:val="0"/>
          <w:sz w:val="32"/>
          <w:szCs w:val="32"/>
          <w:shd w:val="clear" w:color="auto" w:fill="FFFFFF"/>
          <w:lang w:eastAsia="zh-CN"/>
        </w:rPr>
        <w:t>3</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color w:val="000000"/>
          <w:kern w:val="0"/>
          <w:sz w:val="32"/>
          <w:szCs w:val="32"/>
          <w:shd w:val="clear" w:color="auto" w:fill="FFFFFF"/>
          <w:lang w:eastAsia="zh-CN"/>
        </w:rPr>
        <w:t>75号）。</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snapToGrid w:val="0"/>
          <w:color w:val="000000"/>
          <w:kern w:val="0"/>
          <w:sz w:val="32"/>
          <w:szCs w:val="32"/>
          <w:shd w:val="clear" w:color="auto" w:fill="FFFFFF"/>
          <w:lang w:val="en-US" w:eastAsia="zh-CN"/>
        </w:rPr>
      </w:pPr>
      <w:r>
        <w:rPr>
          <w:rFonts w:ascii="仿宋_GB2312" w:eastAsia="仿宋_GB2312" w:cs="仿宋_GB2312" w:hint="eastAsia"/>
          <w:snapToGrid w:val="0"/>
          <w:color w:val="000000"/>
          <w:spacing w:val="0"/>
          <w:kern w:val="0"/>
          <w:sz w:val="32"/>
          <w:szCs w:val="32"/>
        </w:rPr>
        <w:t>根据所报《</w:t>
      </w:r>
      <w:r>
        <w:rPr>
          <w:rFonts w:ascii="仿宋_GB2312" w:eastAsia="仿宋_GB2312" w:cs="仿宋_GB2312" w:hint="eastAsia"/>
          <w:snapToGrid w:val="0"/>
          <w:color w:val="000000"/>
          <w:kern w:val="0"/>
          <w:sz w:val="32"/>
          <w:szCs w:val="32"/>
          <w:shd w:val="clear" w:color="auto" w:fill="FFFFFF"/>
          <w:lang w:val="en-US" w:eastAsia="zh-CN"/>
        </w:rPr>
        <w:t>报告表</w:t>
      </w:r>
      <w:r>
        <w:rPr>
          <w:rFonts w:ascii="仿宋_GB2312" w:eastAsia="仿宋_GB2312" w:cs="仿宋_GB2312" w:hint="eastAsia"/>
          <w:snapToGrid w:val="0"/>
          <w:color w:val="000000"/>
          <w:spacing w:val="0"/>
          <w:kern w:val="0"/>
          <w:sz w:val="32"/>
          <w:szCs w:val="32"/>
        </w:rPr>
        <w:t>》、报告</w:t>
      </w:r>
      <w:r>
        <w:rPr>
          <w:rFonts w:ascii="仿宋_GB2312" w:eastAsia="仿宋_GB2312" w:cs="仿宋_GB2312" w:hint="eastAsia"/>
          <w:snapToGrid w:val="0"/>
          <w:color w:val="000000"/>
          <w:spacing w:val="0"/>
          <w:kern w:val="0"/>
          <w:sz w:val="32"/>
          <w:szCs w:val="32"/>
          <w:lang w:val="en-US" w:eastAsia="zh-CN"/>
        </w:rPr>
        <w:t>表</w:t>
      </w:r>
      <w:r>
        <w:rPr>
          <w:rFonts w:ascii="仿宋_GB2312" w:eastAsia="仿宋_GB2312" w:cs="仿宋_GB2312" w:hint="eastAsia"/>
          <w:snapToGrid w:val="0"/>
          <w:color w:val="000000"/>
          <w:spacing w:val="0"/>
          <w:kern w:val="0"/>
          <w:sz w:val="32"/>
          <w:szCs w:val="32"/>
        </w:rPr>
        <w:t>评估意见、各有关部门意见、本项目公示意见反馈情况以及企业承诺等</w:t>
      </w:r>
      <w:r>
        <w:rPr>
          <w:rFonts w:ascii="仿宋_GB2312" w:eastAsia="仿宋_GB2312" w:cs="仿宋_GB2312" w:hint="eastAsia"/>
          <w:snapToGrid w:val="0"/>
          <w:color w:val="000000"/>
          <w:spacing w:val="0"/>
          <w:kern w:val="0"/>
          <w:sz w:val="32"/>
          <w:szCs w:val="32"/>
          <w:lang w:eastAsia="zh-CN"/>
        </w:rPr>
        <w:t>，</w:t>
      </w:r>
      <w:r>
        <w:rPr>
          <w:rFonts w:ascii="仿宋_GB2312" w:eastAsia="仿宋_GB2312" w:cs="仿宋_GB2312" w:hint="eastAsia"/>
          <w:snapToGrid w:val="0"/>
          <w:color w:val="000000"/>
          <w:kern w:val="0"/>
          <w:sz w:val="32"/>
          <w:szCs w:val="32"/>
          <w:shd w:val="clear" w:color="auto" w:fill="FFFFFF"/>
        </w:rPr>
        <w:t>在项目</w:t>
      </w:r>
      <w:r>
        <w:rPr>
          <w:rFonts w:ascii="仿宋_GB2312" w:eastAsia="仿宋_GB2312" w:cs="仿宋_GB2312" w:hint="eastAsia"/>
          <w:snapToGrid w:val="0"/>
          <w:color w:val="000000"/>
          <w:kern w:val="0"/>
          <w:sz w:val="32"/>
          <w:szCs w:val="32"/>
        </w:rPr>
        <w:t>全面严格落实国家和地方相关法律法规、规章、标准</w:t>
      </w:r>
      <w:r>
        <w:rPr>
          <w:rFonts w:ascii="仿宋_GB2312" w:eastAsia="仿宋_GB2312" w:cs="仿宋_GB2312" w:hint="eastAsia"/>
          <w:snapToGrid w:val="0"/>
          <w:color w:val="000000"/>
          <w:kern w:val="0"/>
          <w:sz w:val="32"/>
          <w:szCs w:val="32"/>
          <w:shd w:val="clear" w:color="auto" w:fill="FFFFFF"/>
        </w:rPr>
        <w:t>、生态环境</w:t>
      </w:r>
      <w:r>
        <w:rPr>
          <w:rFonts w:ascii="仿宋_GB2312" w:eastAsia="仿宋_GB2312" w:cs="仿宋_GB2312" w:hint="eastAsia"/>
          <w:color w:val="000000"/>
          <w:spacing w:val="0"/>
          <w:kern w:val="0"/>
          <w:sz w:val="32"/>
          <w:szCs w:val="32"/>
          <w:shd w:val="clear" w:color="auto" w:fill="FFFFFF"/>
        </w:rPr>
        <w:t>部门</w:t>
      </w:r>
      <w:r>
        <w:rPr>
          <w:rFonts w:ascii="仿宋_GB2312" w:eastAsia="仿宋_GB2312" w:cs="仿宋_GB2312" w:hint="eastAsia"/>
          <w:snapToGrid w:val="0"/>
          <w:color w:val="000000"/>
          <w:kern w:val="0"/>
          <w:sz w:val="32"/>
          <w:szCs w:val="32"/>
          <w:shd w:val="clear" w:color="auto" w:fill="FFFFFF"/>
        </w:rPr>
        <w:t>监督管理等要求</w:t>
      </w:r>
      <w:r>
        <w:rPr>
          <w:rFonts w:ascii="仿宋_GB2312" w:eastAsia="仿宋_GB2312" w:cs="仿宋_GB2312" w:hint="eastAsia"/>
          <w:snapToGrid w:val="0"/>
          <w:color w:val="000000"/>
          <w:kern w:val="0"/>
          <w:sz w:val="32"/>
          <w:szCs w:val="32"/>
        </w:rPr>
        <w:t>以及</w:t>
      </w:r>
      <w:r>
        <w:rPr>
          <w:rFonts w:ascii="仿宋_GB2312" w:eastAsia="仿宋_GB2312" w:cs="仿宋_GB2312" w:hint="eastAsia"/>
          <w:snapToGrid w:val="0"/>
          <w:color w:val="000000"/>
          <w:kern w:val="0"/>
          <w:sz w:val="32"/>
          <w:szCs w:val="32"/>
          <w:shd w:val="clear" w:color="auto" w:fill="FFFFFF"/>
        </w:rPr>
        <w:t>《报告表》提出的各项</w:t>
      </w:r>
      <w:r>
        <w:rPr>
          <w:rFonts w:ascii="仿宋_GB2312" w:eastAsia="仿宋_GB2312" w:cs="仿宋_GB2312" w:hint="eastAsia"/>
          <w:color w:val="000000"/>
          <w:kern w:val="0"/>
          <w:sz w:val="32"/>
          <w:szCs w:val="32"/>
          <w:shd w:val="clear" w:color="auto" w:fill="FFFFFF"/>
        </w:rPr>
        <w:t>环境保护措施和环境保护管理要求的前提下，</w:t>
      </w:r>
      <w:r>
        <w:rPr>
          <w:rFonts w:ascii="仿宋_GB2312" w:eastAsia="仿宋_GB2312" w:cs="仿宋_GB2312" w:hint="eastAsia"/>
          <w:snapToGrid w:val="0"/>
          <w:color w:val="000000"/>
          <w:kern w:val="0"/>
          <w:sz w:val="32"/>
          <w:szCs w:val="32"/>
        </w:rPr>
        <w:t>从环境保护角度考虑，我局原则</w:t>
      </w:r>
      <w:r>
        <w:rPr>
          <w:rFonts w:ascii="仿宋_GB2312" w:eastAsia="仿宋_GB2312" w:cs="仿宋_GB2312" w:hint="eastAsia"/>
          <w:snapToGrid w:val="0"/>
          <w:color w:val="000000"/>
          <w:kern w:val="0"/>
          <w:sz w:val="32"/>
          <w:szCs w:val="32"/>
          <w:shd w:val="clear" w:color="auto" w:fill="FFFFFF"/>
        </w:rPr>
        <w:t>同意《报告表》结论。你</w:t>
      </w:r>
      <w:r>
        <w:rPr>
          <w:rFonts w:ascii="仿宋_GB2312" w:eastAsia="仿宋_GB2312" w:cs="仿宋_GB2312" w:hint="eastAsia"/>
          <w:snapToGrid w:val="0"/>
          <w:color w:val="000000"/>
          <w:kern w:val="0"/>
          <w:sz w:val="32"/>
          <w:szCs w:val="32"/>
          <w:shd w:val="clear" w:color="auto" w:fill="FFFFFF"/>
          <w:lang w:val="en-US" w:eastAsia="zh-CN"/>
        </w:rPr>
        <w:t>公司</w:t>
      </w:r>
      <w:r>
        <w:rPr>
          <w:rFonts w:ascii="仿宋_GB2312" w:eastAsia="仿宋_GB2312" w:cs="仿宋_GB2312" w:hint="eastAsia"/>
          <w:snapToGrid w:val="0"/>
          <w:color w:val="000000"/>
          <w:kern w:val="0"/>
          <w:sz w:val="32"/>
          <w:szCs w:val="32"/>
          <w:shd w:val="clear" w:color="auto" w:fill="FFFFFF"/>
        </w:rPr>
        <w:t>须严格按照《报告表》所列项目的性质、规模、地点、</w:t>
      </w:r>
      <w:r>
        <w:rPr>
          <w:rFonts w:ascii="仿宋_GB2312" w:eastAsia="仿宋_GB2312" w:cs="仿宋_GB2312" w:hint="eastAsia"/>
          <w:color w:val="000000"/>
          <w:kern w:val="0"/>
          <w:sz w:val="32"/>
          <w:szCs w:val="32"/>
          <w:shd w:val="clear" w:color="auto" w:fill="FFFFFF"/>
        </w:rPr>
        <w:t>环境保护措施和环境保护管理要求</w:t>
      </w:r>
      <w:r>
        <w:rPr>
          <w:rFonts w:ascii="仿宋_GB2312" w:eastAsia="仿宋_GB2312" w:cs="仿宋_GB2312" w:hint="eastAsia"/>
          <w:snapToGrid w:val="0"/>
          <w:color w:val="000000"/>
          <w:kern w:val="0"/>
          <w:sz w:val="32"/>
          <w:szCs w:val="32"/>
          <w:shd w:val="clear" w:color="auto" w:fill="FFFFFF"/>
        </w:rPr>
        <w:t>等实施项目建设，未列入本报告及批复许可的内容，不得建设、投入运行。</w:t>
      </w:r>
    </w:p>
    <w:p>
      <w:pPr>
        <w:keepNext w:val="0"/>
        <w:keepLines w:val="0"/>
        <w:pageBreakBefore w:val="0"/>
        <w:widowControl w:val="0"/>
        <w:kinsoku/>
        <w:wordWrap/>
        <w:overflowPunct/>
        <w:topLinePunct w:val="0"/>
        <w:autoSpaceDE/>
        <w:autoSpaceDN/>
        <w:adjustRightInd w:val="0"/>
        <w:snapToGrid w:val="0"/>
        <w:spacing w:line="560" w:lineRule="exact"/>
        <w:ind w:firstLineChars="200" w:firstLine="640"/>
        <w:rPr>
          <w:rFonts w:ascii="仿宋_GB2312" w:eastAsia="仿宋_GB2312" w:cs="仿宋_GB2312"/>
          <w:snapToGrid w:val="0"/>
          <w:color w:val="000000"/>
          <w:kern w:val="0"/>
          <w:sz w:val="32"/>
          <w:szCs w:val="32"/>
          <w:shd w:val="clear" w:color="auto" w:fill="FFFFFF"/>
          <w:lang w:val="en-US" w:eastAsia="zh-CN"/>
        </w:rPr>
      </w:pPr>
      <w:r>
        <w:rPr>
          <w:rFonts w:ascii="仿宋_GB2312" w:eastAsia="仿宋_GB2312" w:cs="仿宋_GB2312" w:hint="eastAsia"/>
          <w:color w:val="000000"/>
          <w:kern w:val="0"/>
          <w:sz w:val="32"/>
          <w:szCs w:val="32"/>
          <w:shd w:val="clear" w:color="auto" w:fill="FFFFFF"/>
        </w:rPr>
        <w:t>二、该项目在工程建设和运行管理中须认真落实《报告表》及相关的各项环境保护措施和环境保护管理要求</w:t>
      </w:r>
      <w:r>
        <w:rPr>
          <w:rFonts w:ascii="仿宋_GB2312" w:eastAsia="仿宋_GB2312" w:cs="仿宋_GB2312" w:hint="eastAsia"/>
          <w:color w:val="000000"/>
          <w:sz w:val="32"/>
          <w:szCs w:val="32"/>
          <w:shd w:val="clear" w:color="auto" w:fill="FFFFFF"/>
        </w:rPr>
        <w:t>，并重点做好以下工作：</w:t>
      </w:r>
    </w:p>
    <w:p>
      <w:pPr>
        <w:pStyle w:val="18"/>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p>
    <w:p>
      <w:pPr>
        <w:pStyle w:val="17"/>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（二）严格落实有关控制工频电场、工频磁场的环境保护措施，确保</w:t>
      </w:r>
      <w:r>
        <w:rPr>
          <w:rFonts w:ascii="仿宋_GB2312" w:eastAsia="仿宋_GB2312" w:cs="仿宋_GB2312"/>
          <w:color w:val="000000"/>
          <w:sz w:val="32"/>
          <w:szCs w:val="32"/>
        </w:rPr>
        <w:t>变电站</w:t>
      </w:r>
      <w:r>
        <w:rPr>
          <w:rFonts w:ascii="仿宋_GB2312" w:eastAsia="仿宋_GB2312" w:cs="仿宋_GB2312" w:hint="eastAsia"/>
          <w:color w:val="000000"/>
          <w:sz w:val="32"/>
          <w:szCs w:val="32"/>
        </w:rPr>
        <w:t>运行时周围环境中的工频电场强度、工频磁感应强度</w:t>
      </w:r>
      <w:r>
        <w:rPr>
          <w:rFonts w:ascii="仿宋_GB2312" w:eastAsia="仿宋_GB2312" w:cs="仿宋_GB2312"/>
          <w:color w:val="000000"/>
          <w:sz w:val="32"/>
          <w:szCs w:val="32"/>
        </w:rPr>
        <w:t>均</w:t>
      </w:r>
      <w:r>
        <w:rPr>
          <w:rFonts w:ascii="仿宋_GB2312" w:eastAsia="仿宋_GB2312" w:cs="仿宋_GB2312" w:hint="eastAsia"/>
          <w:color w:val="000000"/>
          <w:sz w:val="32"/>
          <w:szCs w:val="32"/>
        </w:rPr>
        <w:t>符合《电磁环境控制限值》（GB8702—2014）中相关限值要求，同时应设置警示和防护指示标志。</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color w:val="000000"/>
          <w:sz w:val="32"/>
          <w:szCs w:val="32"/>
        </w:rPr>
        <w:t>（三）重点做好环境噪声的防治工作。</w:t>
      </w:r>
      <w:r>
        <w:rPr>
          <w:rFonts w:ascii="仿宋_GB2312" w:eastAsia="仿宋_GB2312" w:cs="仿宋_GB2312"/>
          <w:color w:val="000000"/>
          <w:sz w:val="32"/>
          <w:szCs w:val="32"/>
          <w:lang w:val="en-US" w:eastAsia="zh-CN"/>
        </w:rPr>
        <w:t>变电站</w:t>
      </w:r>
      <w:r>
        <w:rPr>
          <w:rFonts w:ascii="仿宋_GB2312" w:eastAsia="仿宋_GB2312" w:cs="仿宋_GB2312" w:hint="eastAsia"/>
          <w:color w:val="000000"/>
          <w:sz w:val="32"/>
          <w:szCs w:val="32"/>
        </w:rPr>
        <w:t>应合理布局，选用低噪声设备，采取隔声降噪</w:t>
      </w:r>
      <w:r>
        <w:rPr>
          <w:rFonts w:ascii="仿宋_GB2312" w:eastAsia="仿宋_GB2312" w:cs="仿宋_GB2312"/>
          <w:color w:val="000000"/>
          <w:sz w:val="32"/>
          <w:szCs w:val="32"/>
        </w:rPr>
        <w:t>等</w:t>
      </w:r>
      <w:bookmarkStart w:id="1" w:name="_GoBack"/>
      <w:bookmarkEnd w:id="1"/>
      <w:r>
        <w:rPr>
          <w:rFonts w:ascii="仿宋_GB2312" w:eastAsia="仿宋_GB2312" w:cs="仿宋_GB2312" w:hint="eastAsia"/>
          <w:color w:val="000000"/>
          <w:sz w:val="32"/>
          <w:szCs w:val="32"/>
        </w:rPr>
        <w:t>措施。确保厂界噪声满足《工业企业厂界环境噪声排放标准》（GB12348—2008）相关标准要求</w:t>
      </w:r>
      <w:r>
        <w:rPr>
          <w:rFonts w:ascii="仿宋_GB2312" w:eastAsia="仿宋_GB2312" w:cs="仿宋_GB2312"/>
          <w:color w:val="000000"/>
          <w:sz w:val="32"/>
          <w:szCs w:val="32"/>
        </w:rPr>
        <w:t>及所在功能区要求</w:t>
      </w:r>
      <w:r>
        <w:rPr>
          <w:rFonts w:ascii="仿宋_GB2312" w:eastAsia="仿宋_GB2312" w:cs="仿宋_GB2312" w:hint="eastAsia"/>
          <w:color w:val="000000"/>
          <w:sz w:val="32"/>
          <w:szCs w:val="32"/>
        </w:rPr>
        <w:t>。</w:t>
      </w:r>
    </w:p>
    <w:p>
      <w:pPr>
        <w:pStyle w:val="18"/>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（四）按规范建设和使用事故油池，防止非正常情况下造成环境污染。</w:t>
      </w:r>
      <w:r>
        <w:rPr>
          <w:rFonts w:ascii="仿宋_GB2312" w:eastAsia="仿宋_GB2312" w:cs="仿宋_GB2312"/>
          <w:color w:val="000000"/>
          <w:sz w:val="32"/>
          <w:szCs w:val="32"/>
        </w:rPr>
        <w:t>项目</w:t>
      </w:r>
      <w:r>
        <w:rPr>
          <w:rFonts w:ascii="仿宋_GB2312" w:eastAsia="仿宋_GB2312" w:cs="仿宋_GB2312" w:hint="eastAsia"/>
          <w:color w:val="000000"/>
          <w:kern w:val="0"/>
          <w:sz w:val="32"/>
          <w:szCs w:val="32"/>
          <w:shd w:val="clear" w:color="auto" w:fill="FFFFFF"/>
        </w:rPr>
        <w:t>产生的</w:t>
      </w:r>
      <w:r>
        <w:rPr>
          <w:rFonts w:ascii="仿宋_GB2312" w:eastAsia="仿宋_GB2312" w:cs="仿宋_GB2312" w:hint="eastAsia"/>
          <w:color w:val="000000"/>
          <w:sz w:val="32"/>
          <w:szCs w:val="32"/>
        </w:rPr>
        <w:t>危险废物须按照相关法律法规要求交由有危险废物处置资质单位依法依规处置。</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r>
        <w:rPr>
          <w:rFonts w:ascii="仿宋_GB2312" w:eastAsia="仿宋_GB2312" w:cs="仿宋_GB2312" w:hint="eastAsia"/>
          <w:color w:val="000000"/>
          <w:sz w:val="32"/>
          <w:szCs w:val="32"/>
        </w:rPr>
        <w:t>（五）</w:t>
      </w:r>
      <w:r>
        <w:rPr>
          <w:rFonts w:ascii="仿宋_GB2312" w:eastAsia="仿宋_GB2312" w:cs="仿宋_GB2312" w:hint="eastAsia"/>
          <w:color w:val="000000"/>
          <w:kern w:val="0"/>
          <w:sz w:val="32"/>
          <w:szCs w:val="32"/>
          <w:lang w:val="en-US" w:eastAsia="zh-CN"/>
        </w:rPr>
        <w:t>认真落实《报告表》中其他环境管理要求。</w:t>
      </w:r>
      <w:r>
        <w:rPr>
          <w:rFonts w:ascii="仿宋_GB2312" w:eastAsia="仿宋_GB2312" w:cs="仿宋_GB2312" w:hint="eastAsia"/>
          <w:snapToGrid w:val="0"/>
          <w:color w:val="000000"/>
          <w:sz w:val="32"/>
          <w:szCs w:val="32"/>
          <w:lang w:val="en-US" w:eastAsia="zh-CN" w:bidi="ar-SA"/>
        </w:rPr>
        <w:t>如国家和地方另有更严格的相关法律法规、规章、标准、</w:t>
      </w:r>
      <w:r>
        <w:rPr>
          <w:rFonts w:ascii="仿宋_GB2312" w:eastAsia="仿宋_GB2312" w:cs="仿宋_GB2312" w:hint="eastAsia"/>
          <w:snapToGrid w:val="0"/>
          <w:color w:val="000000"/>
          <w:sz w:val="32"/>
          <w:szCs w:val="32"/>
          <w:lang w:bidi="ar-SA"/>
        </w:rPr>
        <w:t>生态环境</w:t>
      </w:r>
      <w:r>
        <w:rPr>
          <w:rFonts w:ascii="仿宋_GB2312" w:eastAsia="仿宋_GB2312" w:cs="仿宋_GB2312" w:hint="eastAsia"/>
          <w:color w:val="000000"/>
          <w:sz w:val="32"/>
          <w:szCs w:val="32"/>
        </w:rPr>
        <w:t>部门</w:t>
      </w:r>
      <w:r>
        <w:rPr>
          <w:rFonts w:ascii="仿宋_GB2312" w:eastAsia="仿宋_GB2312" w:cs="仿宋_GB2312" w:hint="eastAsia"/>
          <w:snapToGrid w:val="0"/>
          <w:color w:val="000000"/>
          <w:sz w:val="32"/>
          <w:szCs w:val="32"/>
          <w:lang w:bidi="ar-SA"/>
        </w:rPr>
        <w:t>监督管理、</w:t>
      </w:r>
      <w:r>
        <w:rPr>
          <w:rFonts w:ascii="仿宋_GB2312" w:eastAsia="仿宋_GB2312" w:cs="仿宋_GB2312" w:hint="eastAsia"/>
          <w:color w:val="000000"/>
          <w:kern w:val="0"/>
          <w:sz w:val="32"/>
          <w:szCs w:val="32"/>
          <w:shd w:val="clear" w:color="auto" w:fill="FFFFFF"/>
        </w:rPr>
        <w:t>环境保护措施和环境保护管理</w:t>
      </w:r>
      <w:r>
        <w:rPr>
          <w:rFonts w:ascii="仿宋_GB2312" w:eastAsia="仿宋_GB2312" w:cs="仿宋_GB2312" w:hint="eastAsia"/>
          <w:color w:val="000000"/>
          <w:sz w:val="32"/>
          <w:szCs w:val="32"/>
        </w:rPr>
        <w:t>等要求的，按最严格规定执行。</w:t>
      </w:r>
    </w:p>
    <w:p>
      <w:pPr>
        <w:pStyle w:val="2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Chars="200" w:firstLine="640"/>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rPr>
        <w:t>三、</w:t>
      </w:r>
      <w:r>
        <w:rPr>
          <w:rFonts w:ascii="仿宋_GB2312" w:eastAsia="仿宋_GB2312" w:cs="仿宋_GB2312" w:hint="eastAsia"/>
          <w:snapToGrid w:val="0"/>
          <w:color w:val="000000"/>
          <w:kern w:val="0"/>
          <w:sz w:val="32"/>
          <w:szCs w:val="32"/>
        </w:rPr>
        <w:t>严格执行建设项目环境保护“三同时”制度。</w:t>
      </w:r>
      <w:r>
        <w:rPr>
          <w:rFonts w:ascii="仿宋_GB2312" w:eastAsia="仿宋_GB2312" w:cs="仿宋_GB2312" w:hint="eastAsia"/>
          <w:color w:val="000000"/>
          <w:sz w:val="32"/>
          <w:szCs w:val="32"/>
        </w:rPr>
        <w:t>项目</w:t>
      </w:r>
      <w:r>
        <w:rPr>
          <w:rFonts w:ascii="仿宋_GB2312" w:eastAsia="仿宋_GB2312" w:cs="仿宋_GB2312" w:hint="eastAsia"/>
          <w:snapToGrid w:val="0"/>
          <w:color w:val="000000"/>
          <w:sz w:val="32"/>
          <w:szCs w:val="32"/>
        </w:rPr>
        <w:t>竣工</w:t>
      </w:r>
      <w:r>
        <w:rPr>
          <w:rFonts w:ascii="仿宋_GB2312" w:eastAsia="仿宋_GB2312" w:cs="仿宋_GB2312" w:hint="eastAsia"/>
          <w:color w:val="000000"/>
          <w:sz w:val="32"/>
          <w:szCs w:val="32"/>
        </w:rPr>
        <w:t>后，</w:t>
      </w:r>
      <w:r>
        <w:rPr>
          <w:rFonts w:ascii="仿宋_GB2312" w:eastAsia="仿宋_GB2312" w:cs="仿宋_GB2312" w:hint="eastAsia"/>
          <w:snapToGrid w:val="0"/>
          <w:color w:val="000000"/>
          <w:sz w:val="32"/>
          <w:szCs w:val="32"/>
        </w:rPr>
        <w:t>须按规定开展环境保护设施竣工验收工作。</w:t>
      </w:r>
      <w:r>
        <w:rPr>
          <w:rFonts w:ascii="仿宋_GB2312" w:eastAsia="仿宋_GB2312" w:cs="仿宋_GB2312" w:hint="eastAsia"/>
          <w:color w:val="000000"/>
          <w:sz w:val="32"/>
          <w:szCs w:val="32"/>
        </w:rPr>
        <w:t>验收合格后，项目方可正式投入生产或者使用；未经验收或者验收不合格的，不得投入生产或者使用。本项目环境影响评价文件经批准后，</w:t>
      </w:r>
      <w:r>
        <w:rPr>
          <w:rFonts w:ascii="仿宋_GB2312" w:eastAsia="仿宋_GB2312" w:cs="仿宋_GB2312" w:hint="eastAsia"/>
          <w:snapToGrid w:val="0"/>
          <w:color w:val="000000"/>
          <w:kern w:val="0"/>
          <w:sz w:val="32"/>
          <w:szCs w:val="32"/>
        </w:rPr>
        <w:t>项目发生重大变动的，</w:t>
      </w:r>
      <w:r>
        <w:rPr>
          <w:rFonts w:ascii="仿宋_GB2312" w:eastAsia="仿宋_GB2312" w:cs="仿宋_GB2312" w:hint="eastAsia"/>
          <w:color w:val="000000"/>
          <w:spacing w:val="0"/>
          <w:kern w:val="0"/>
          <w:sz w:val="32"/>
          <w:szCs w:val="32"/>
          <w:shd w:val="clear" w:color="auto" w:fill="FFFFFF"/>
        </w:rPr>
        <w:t>应按照相关法律法规的规定和要求，</w:t>
      </w:r>
      <w:r>
        <w:rPr>
          <w:rFonts w:ascii="仿宋_GB2312" w:eastAsia="仿宋_GB2312" w:cs="仿宋_GB2312" w:hint="eastAsia"/>
          <w:color w:val="000000"/>
          <w:spacing w:val="0"/>
          <w:kern w:val="0"/>
          <w:sz w:val="32"/>
          <w:szCs w:val="32"/>
          <w:shd w:val="clear" w:color="auto" w:fill="FFFFFF"/>
          <w:lang w:eastAsia="zh-CN"/>
        </w:rPr>
        <w:t>依法依规</w:t>
      </w:r>
      <w:r>
        <w:rPr>
          <w:rFonts w:ascii="仿宋_GB2312" w:eastAsia="仿宋_GB2312" w:cs="仿宋_GB2312" w:hint="eastAsia"/>
          <w:color w:val="000000"/>
          <w:spacing w:val="0"/>
          <w:kern w:val="0"/>
          <w:sz w:val="32"/>
          <w:szCs w:val="32"/>
          <w:shd w:val="clear" w:color="auto" w:fill="FFFFFF"/>
        </w:rPr>
        <w:t>重新报批本项目环境影响评价文件。自批复之日起五年后方决定开工建设的，须将环评文件报行政审批部门重新审核。</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sz w:val="32"/>
          <w:szCs w:val="32"/>
        </w:rPr>
        <w:t>四、你</w:t>
      </w:r>
      <w:r>
        <w:rPr>
          <w:rFonts w:ascii="仿宋_GB2312" w:eastAsia="仿宋_GB2312" w:cs="仿宋_GB2312" w:hint="eastAsia"/>
          <w:color w:val="000000"/>
          <w:sz w:val="32"/>
          <w:szCs w:val="32"/>
          <w:lang w:val="en-US" w:eastAsia="zh-CN"/>
        </w:rPr>
        <w:t>公司</w:t>
      </w:r>
      <w:r>
        <w:rPr>
          <w:rFonts w:ascii="仿宋_GB2312" w:eastAsia="仿宋_GB2312" w:cs="仿宋_GB2312" w:hint="eastAsia"/>
          <w:color w:val="000000"/>
          <w:sz w:val="32"/>
          <w:szCs w:val="32"/>
        </w:rPr>
        <w:t>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sz w:val="32"/>
          <w:szCs w:val="32"/>
        </w:rPr>
        <w:t>，须将《报告表》及其批复文件送至生态环境行政主管部门备案，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5"/>
        <w:keepNext w:val="0"/>
        <w:keepLines w:val="0"/>
        <w:pageBreakBefore w:val="0"/>
        <w:widowControl w:val="0"/>
        <w:suppressLineNumbers w:val="0"/>
        <w:suppressAutoHyphens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snapToGrid w:val="0"/>
          <w:color w:val="000000"/>
          <w:kern w:val="0"/>
          <w:sz w:val="32"/>
          <w:szCs w:val="32"/>
          <w:shd w:val="clear" w:color="auto" w:fill="FFFFFF"/>
        </w:rPr>
      </w:pPr>
      <w:r>
        <w:rPr>
          <w:rFonts w:ascii="仿宋_GB2312" w:eastAsia="仿宋_GB2312" w:cs="仿宋_GB2312" w:hint="eastAsia"/>
          <w:snapToGrid w:val="0"/>
          <w:color w:val="000000"/>
          <w:kern w:val="0"/>
          <w:sz w:val="32"/>
          <w:szCs w:val="32"/>
          <w:shd w:val="clear" w:color="auto" w:fill="FFFFFF"/>
        </w:rPr>
        <w:t>五、本批复只适用于以上核与辐射类建设项目，其他如涉及非核与辐射类建设项目须按有关规定另行办理相关环保手续。</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int="eastAsia"/>
          <w:color w:val="000000"/>
          <w:kern w:val="0"/>
          <w:sz w:val="32"/>
          <w:szCs w:val="32"/>
          <w:shd w:val="clear" w:color="auto" w:fill="FFFFFF"/>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560" w:lineRule="exact"/>
        <w:ind w:firstLineChars="1500" w:firstLine="4800"/>
        <w:textAlignment w:val="auto"/>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rPr>
        <w:t>秦皇岛市行政审批局</w:t>
      </w:r>
    </w:p>
    <w:p>
      <w:pPr>
        <w:keepNext w:val="0"/>
        <w:keepLines w:val="0"/>
        <w:pageBreakBefore w:val="0"/>
        <w:widowControl w:val="0"/>
        <w:kinsoku/>
        <w:wordWrap/>
        <w:overflowPunct/>
        <w:topLinePunct w:val="0"/>
        <w:autoSpaceDE/>
        <w:autoSpaceDN/>
        <w:bidi w:val="0"/>
        <w:adjustRightInd w:val="0"/>
        <w:snapToGrid w:val="0"/>
        <w:spacing w:line="560" w:lineRule="exact"/>
        <w:ind w:firstLineChars="1600" w:firstLine="5120"/>
        <w:textAlignment w:val="auto"/>
        <w:rPr>
          <w:rFonts w:ascii="仿宋_GB2312" w:eastAsia="仿宋_GB2312" w:cs="仿宋_GB2312" w:hint="eastAsia"/>
          <w:sz w:val="32"/>
          <w:szCs w:val="32"/>
          <w:lang w:val="en-US" w:eastAsia="zh-CN"/>
        </w:rPr>
      </w:pPr>
      <w:r>
        <w:rPr>
          <w:rFonts w:ascii="仿宋_GB2312" w:eastAsia="仿宋_GB2312" w:cs="仿宋_GB2312" w:hint="eastAsia"/>
          <w:color w:val="000000"/>
          <w:kern w:val="0"/>
          <w:sz w:val="32"/>
          <w:szCs w:val="32"/>
          <w:shd w:val="clear" w:color="auto" w:fill="FFFFFF"/>
        </w:rPr>
        <w:t>202</w:t>
      </w:r>
      <w:r>
        <w:rPr>
          <w:rFonts w:ascii="仿宋_GB2312" w:eastAsia="仿宋_GB2312" w:cs="仿宋_GB2312"/>
          <w:color w:val="000000"/>
          <w:kern w:val="0"/>
          <w:sz w:val="32"/>
          <w:szCs w:val="32"/>
          <w:shd w:val="clear" w:color="auto" w:fill="FFFFFF"/>
        </w:rPr>
        <w:t>4</w:t>
      </w:r>
      <w:r>
        <w:rPr>
          <w:rFonts w:ascii="仿宋_GB2312" w:eastAsia="仿宋_GB2312" w:cs="仿宋_GB2312" w:hint="eastAsia"/>
          <w:color w:val="000000"/>
          <w:kern w:val="0"/>
          <w:sz w:val="32"/>
          <w:szCs w:val="32"/>
          <w:shd w:val="clear" w:color="auto" w:fill="FFFFFF"/>
        </w:rPr>
        <w:t>年</w:t>
      </w:r>
      <w:r>
        <w:rPr>
          <w:rFonts w:ascii="仿宋_GB2312" w:eastAsia="仿宋_GB2312" w:cs="仿宋_GB2312"/>
          <w:color w:val="000000"/>
          <w:kern w:val="0"/>
          <w:sz w:val="32"/>
          <w:szCs w:val="32"/>
          <w:shd w:val="clear" w:color="auto" w:fill="FFFFFF"/>
          <w:lang w:val="en-US" w:eastAsia="zh-CN"/>
        </w:rPr>
        <w:t>7</w:t>
      </w:r>
      <w:r>
        <w:rPr>
          <w:rFonts w:ascii="仿宋_GB2312" w:eastAsia="仿宋_GB2312" w:cs="仿宋_GB2312" w:hint="eastAsia"/>
          <w:color w:val="000000"/>
          <w:kern w:val="0"/>
          <w:sz w:val="32"/>
          <w:szCs w:val="32"/>
          <w:shd w:val="clear" w:color="auto" w:fill="FFFFFF"/>
        </w:rPr>
        <w:t>月</w:t>
      </w:r>
      <w:r>
        <w:rPr>
          <w:rFonts w:ascii="仿宋_GB2312" w:eastAsia="仿宋_GB2312" w:cs="仿宋_GB2312"/>
          <w:color w:val="000000"/>
          <w:kern w:val="0"/>
          <w:sz w:val="32"/>
          <w:szCs w:val="32"/>
          <w:shd w:val="clear" w:color="auto" w:fill="FFFFFF"/>
        </w:rPr>
        <w:t>16</w:t>
      </w:r>
      <w:r>
        <w:rPr>
          <w:rFonts w:ascii="仿宋_GB2312" w:eastAsia="仿宋_GB2312" w:cs="仿宋_GB2312" w:hint="eastAsia"/>
          <w:color w:val="000000"/>
          <w:kern w:val="0"/>
          <w:sz w:val="32"/>
          <w:szCs w:val="32"/>
          <w:shd w:val="clear" w:color="auto" w:fill="FFFFFF"/>
        </w:rPr>
        <w:t>日</w:t>
      </w:r>
    </w:p>
    <w:sectPr>
      <w:footerReference w:type="default" r:id="rId2"/>
      <w:pgSz w:w="11907" w:h="16840"/>
      <w:pgMar w:top="2098" w:right="1474" w:bottom="1985" w:left="1588"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_x0000_s2049"/>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miter/>
                      </a:ln>
                    </wps:spPr>
                    <wps:txbx id="2">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wps:txbx>
                    <wps:bodyPr vert="horz" wrap="none" lIns="0" tIns="0" rIns="0" bIns="0" anchor="t" anchorCtr="0" upright="1">
                      <a:spAutoFit/>
                    </wps:bodyPr>
                  </wps:wsp>
                </a:graphicData>
              </a:graphic>
            </wp:anchor>
          </w:drawing>
        </mc:Choice>
        <mc:Fallback>
          <w:pict>
            <v:rect type="#_x0000_t1" id="_x0000_s2049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- 3 -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_x0000_s2050"/>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miter/>
                      </a:ln>
                    </wps:spPr>
                    <wps:txbx id="5">
                      <w:txbxContent>
                        <w:p>
                          <w:pPr>
                            <w:pStyle w:val="19"/>
                            <w:tabs>
                              <w:tab w:val="center" w:pos="4153"/>
                              <w:tab w:val="right" w:pos="8306"/>
                            </w:tabs>
                          </w:pPr>
                        </w:p>
                      </w:txbxContent>
                    </wps:txbx>
                    <wps:bodyPr vert="horz" wrap="none" lIns="0" tIns="0" rIns="0" bIns="0" anchor="t" anchorCtr="0" upright="1">
                      <a:spAutoFit/>
                    </wps:bodyPr>
                  </wps:wsp>
                </a:graphicData>
              </a:graphic>
            </wp:anchor>
          </w:drawing>
        </mc:Choice>
        <mc:Fallback>
          <w:pict>
            <v:rect type="#_x0000_t1" id="_x0000_s2050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ind w:firstLine="420"/>
    </w:pPr>
  </w:style>
  <w:style w:type="paragraph" w:styleId="16">
    <w:name w:val="toc 1"/>
    <w:basedOn w:val="0"/>
    <w:next w:val="0"/>
  </w:style>
  <w:style w:type="paragraph" w:styleId="17">
    <w:name w:val="Body Text"/>
    <w:basedOn w:val="0"/>
    <w:next w:val="18"/>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Normal (Web)"/>
    <w:basedOn w:val="0"/>
    <w:pPr>
      <w:spacing w:before="100" w:beforeAutospacing="1" w:after="100" w:afterAutospacing="1"/>
      <w:jc w:val="left"/>
    </w:pPr>
    <w:rPr>
      <w:kern w:val="0"/>
      <w:sz w:val="24"/>
    </w:rPr>
  </w:style>
  <w:style w:type="paragraph" w:styleId="21">
    <w:name w:val="Body Text First Indent"/>
    <w:basedOn w:val="0"/>
    <w:next w:val="16"/>
    <w:pPr>
      <w:widowControl w:val="0"/>
      <w:spacing w:after="120"/>
      <w:ind w:firstLineChars="100" w:firstLine="100"/>
      <w:jc w:val="both"/>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218</TotalTime>
  <Application>Yozo_Office27021597764231179</Application>
  <Pages>4</Pages>
  <Words>1721</Words>
  <Characters>1856</Characters>
  <Lines>76</Lines>
  <Paragraphs>17</Paragraphs>
  <CharactersWithSpaces>1857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2</cp:revision>
  <cp:lastPrinted>2022-01-17T02:59:00Z</cp:lastPrinted>
  <dcterms:created xsi:type="dcterms:W3CDTF">2020-10-16T00:57:00Z</dcterms:created>
  <dcterms:modified xsi:type="dcterms:W3CDTF">2024-07-16T02:06:06Z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DC23FABB74764184BB4085C229852EBA</vt:lpwstr>
  </property>
</Properties>
</file>