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right"/>
        <w:textAlignment w:val="auto"/>
        <w:rPr>
          <w:rFonts w:ascii="方正仿宋_GB2312" w:eastAsia="方正仿宋_GB2312" w:cs="方正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after="0" w:afterLines="0" w:line="560" w:lineRule="exact"/>
        <w:jc w:val="right"/>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rPr>
        <w:t>秦审批环准许〔2024〕02-001</w:t>
      </w:r>
      <w:r>
        <w:rPr>
          <w:rFonts w:hint="eastAsia" w:ascii="仿宋_GB2312" w:eastAsia="仿宋_GB2312" w:cs="方正仿宋_GB2312"/>
          <w:color w:val="auto"/>
          <w:kern w:val="0"/>
          <w:sz w:val="32"/>
          <w:szCs w:val="32"/>
          <w:lang w:val="en-US" w:eastAsia="zh-CN"/>
        </w:rPr>
        <w:t>8</w:t>
      </w:r>
      <w:r>
        <w:rPr>
          <w:rFonts w:hint="eastAsia" w:ascii="仿宋_GB2312" w:eastAsia="仿宋_GB2312" w:cs="方正仿宋_GB2312"/>
          <w:color w:val="auto"/>
          <w:kern w:val="0"/>
          <w:sz w:val="32"/>
          <w:szCs w:val="32"/>
        </w:rPr>
        <w:t>号</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jc w:val="center"/>
        <w:textAlignment w:val="auto"/>
        <w:rPr>
          <w:rFonts w:hint="eastAsia" w:ascii="仿宋_GB2312" w:eastAsia="仿宋_GB2312" w:cs="宋体"/>
          <w:color w:val="auto"/>
          <w:kern w:val="0"/>
          <w:sz w:val="32"/>
          <w:szCs w:val="32"/>
        </w:rPr>
      </w:pPr>
      <w:r>
        <w:rPr>
          <w:rFonts w:hint="eastAsia" w:ascii="宋体" w:cs="宋体"/>
          <w:b/>
          <w:bCs/>
          <w:color w:val="auto"/>
          <w:kern w:val="0"/>
          <w:sz w:val="44"/>
          <w:szCs w:val="44"/>
        </w:rPr>
        <w:t>关于秦皇岛城源建材有限公司机制砂石加工项目环境影响报告</w:t>
      </w:r>
      <w:r>
        <w:rPr>
          <w:rFonts w:hint="eastAsia" w:ascii="宋体" w:cs="宋体"/>
          <w:b/>
          <w:bCs/>
          <w:color w:val="auto"/>
          <w:kern w:val="0"/>
          <w:sz w:val="44"/>
          <w:szCs w:val="44"/>
          <w:lang w:val="en-US" w:eastAsia="zh-CN"/>
        </w:rPr>
        <w:t>表</w:t>
      </w:r>
      <w:r>
        <w:rPr>
          <w:rFonts w:hint="eastAsia" w:ascii="宋体" w:cs="宋体"/>
          <w:b/>
          <w:bCs/>
          <w:color w:val="auto"/>
          <w:kern w:val="0"/>
          <w:sz w:val="44"/>
          <w:szCs w:val="44"/>
        </w:rPr>
        <w:t>的批复</w:t>
      </w:r>
    </w:p>
    <w:p>
      <w:pPr>
        <w:pStyle w:val="2"/>
        <w:adjustRightInd w:val="0"/>
        <w:snapToGrid w:val="0"/>
        <w:spacing w:after="0" w:afterLines="0" w:line="560" w:lineRule="exact"/>
        <w:rPr>
          <w:rFonts w:hint="eastAsia" w:ascii="仿宋_GB2312" w:eastAsia="仿宋_GB2312"/>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rPr>
        <w:t>秦皇岛城源建材有限公司：</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rPr>
        <w:t>所报《秦皇岛城源建材有限公司机制砂石加工项目环境影响报告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》（以下简称《报告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》）审批申请及相关申报材料收悉。</w:t>
      </w:r>
      <w:r>
        <w:rPr>
          <w:rFonts w:ascii="仿宋_GB2312" w:eastAsia="仿宋_GB2312" w:cs="方正仿宋_GB2312"/>
          <w:color w:val="auto"/>
          <w:kern w:val="0"/>
          <w:sz w:val="32"/>
          <w:szCs w:val="32"/>
        </w:rPr>
        <w:t>结合</w:t>
      </w:r>
      <w:r>
        <w:rPr>
          <w:rFonts w:hint="eastAsia" w:ascii="仿宋_GB2312" w:eastAsia="仿宋_GB2312" w:cs="方正仿宋_GB2312"/>
          <w:color w:val="auto"/>
          <w:kern w:val="0"/>
          <w:sz w:val="32"/>
          <w:szCs w:val="32"/>
        </w:rPr>
        <w:t>环评</w:t>
      </w:r>
      <w:r>
        <w:rPr>
          <w:rFonts w:hint="eastAsia" w:ascii="仿宋_GB2312" w:eastAsia="仿宋_GB2312" w:cs="方正仿宋_GB2312"/>
          <w:color w:val="auto"/>
          <w:kern w:val="0"/>
          <w:sz w:val="32"/>
          <w:szCs w:val="32"/>
          <w:lang w:val="en-US" w:eastAsia="zh-CN"/>
        </w:rPr>
        <w:t>报告</w:t>
      </w:r>
      <w:r>
        <w:rPr>
          <w:rFonts w:hint="eastAsia" w:ascii="仿宋_GB2312" w:eastAsia="仿宋_GB2312" w:cs="方正仿宋_GB2312"/>
          <w:color w:val="auto"/>
          <w:kern w:val="0"/>
          <w:sz w:val="32"/>
          <w:szCs w:val="32"/>
        </w:rPr>
        <w:t>结论</w:t>
      </w:r>
      <w:r>
        <w:rPr>
          <w:rFonts w:ascii="仿宋_GB2312" w:eastAsia="仿宋_GB2312" w:cs="方正仿宋_GB2312"/>
          <w:color w:val="auto"/>
          <w:kern w:val="0"/>
          <w:sz w:val="32"/>
          <w:szCs w:val="32"/>
        </w:rPr>
        <w:t>、</w:t>
      </w:r>
      <w:r>
        <w:rPr>
          <w:rFonts w:hint="eastAsia" w:ascii="仿宋_GB2312" w:eastAsia="仿宋_GB2312" w:cs="方正仿宋_GB2312"/>
          <w:color w:val="auto"/>
          <w:kern w:val="0"/>
          <w:sz w:val="32"/>
          <w:szCs w:val="32"/>
        </w:rPr>
        <w:t>河北绿业环保科技有限公司出具的《秦皇岛城源建材有限公司机制砂石加工项目环境影响报告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技术评估意见》</w:t>
      </w:r>
      <w:r>
        <w:rPr>
          <w:rFonts w:ascii="仿宋_GB2312" w:eastAsia="仿宋_GB2312" w:cs="方正仿宋_GB2312"/>
          <w:color w:val="auto"/>
          <w:kern w:val="0"/>
          <w:sz w:val="32"/>
          <w:szCs w:val="32"/>
        </w:rPr>
        <w:t>以及</w:t>
      </w:r>
      <w:r>
        <w:rPr>
          <w:rFonts w:hint="eastAsia" w:ascii="仿宋_GB2312" w:eastAsia="仿宋_GB2312" w:cs="方正仿宋_GB2312"/>
          <w:color w:val="auto"/>
          <w:kern w:val="0"/>
          <w:sz w:val="32"/>
          <w:szCs w:val="32"/>
        </w:rPr>
        <w:t>本项目</w:t>
      </w:r>
      <w:r>
        <w:rPr>
          <w:rFonts w:hint="eastAsia" w:ascii="仿宋_GB2312" w:eastAsia="仿宋_GB2312" w:cs="方正仿宋_GB2312"/>
          <w:color w:val="auto"/>
          <w:kern w:val="0"/>
          <w:sz w:val="32"/>
          <w:szCs w:val="32"/>
          <w:lang w:val="en-US" w:eastAsia="zh-CN"/>
        </w:rPr>
        <w:t>环境影响特点、</w:t>
      </w:r>
      <w:r>
        <w:rPr>
          <w:rFonts w:hint="eastAsia" w:ascii="仿宋_GB2312" w:eastAsia="仿宋_GB2312" w:cs="方正仿宋_GB2312"/>
          <w:color w:val="auto"/>
          <w:kern w:val="0"/>
          <w:sz w:val="32"/>
          <w:szCs w:val="32"/>
        </w:rPr>
        <w:t xml:space="preserve">公示意见反馈等方面情况，经研究，现批复如下： </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hint="eastAsia" w:ascii="仿宋_GB2312" w:eastAsia="仿宋_GB2312" w:cs="方正仿宋_GB2312"/>
          <w:color w:val="auto"/>
          <w:kern w:val="0"/>
          <w:sz w:val="32"/>
          <w:szCs w:val="32"/>
          <w:lang w:val="en-US" w:eastAsia="zh-CN" w:bidi="ar-SA"/>
        </w:rPr>
      </w:pPr>
      <w:r>
        <w:rPr>
          <w:rFonts w:hint="eastAsia" w:ascii="仿宋_GB2312" w:eastAsia="仿宋_GB2312" w:cs="方正仿宋_GB2312"/>
          <w:color w:val="auto"/>
          <w:kern w:val="0"/>
          <w:sz w:val="32"/>
          <w:szCs w:val="32"/>
        </w:rPr>
        <w:t xml:space="preserve"> 一、项目建设内容和总体要求</w:t>
      </w:r>
      <w:r>
        <w:rPr>
          <w:rFonts w:hint="eastAsia" w:ascii="仿宋_GB2312" w:eastAsia="仿宋_GB2312" w:cs="方正仿宋_GB2312"/>
          <w:color w:val="auto"/>
          <w:kern w:val="0"/>
          <w:sz w:val="32"/>
          <w:szCs w:val="32"/>
          <w:lang w:eastAsia="zh-CN"/>
        </w:rPr>
        <w:t>。</w:t>
      </w:r>
      <w:r>
        <w:rPr>
          <w:rFonts w:hint="eastAsia" w:ascii="仿宋_GB2312" w:eastAsia="仿宋_GB2312" w:cs="方正仿宋_GB2312"/>
          <w:color w:val="auto"/>
          <w:kern w:val="0"/>
          <w:sz w:val="32"/>
          <w:szCs w:val="32"/>
        </w:rPr>
        <w:t>项目位于河北省秦皇岛市海港区石门寨镇孤石峪村村南</w:t>
      </w:r>
      <w:r>
        <w:rPr>
          <w:rFonts w:hint="eastAsia" w:ascii="仿宋_GB2312" w:eastAsia="仿宋_GB2312" w:cs="方正仿宋_GB2312"/>
          <w:color w:val="auto"/>
          <w:kern w:val="0"/>
          <w:sz w:val="32"/>
          <w:szCs w:val="32"/>
          <w:lang w:eastAsia="zh-CN"/>
        </w:rPr>
        <w:t>；</w:t>
      </w:r>
      <w:r>
        <w:rPr>
          <w:rFonts w:hint="eastAsia" w:ascii="仿宋_GB2312" w:eastAsia="仿宋_GB2312" w:cs="方正仿宋_GB2312"/>
          <w:color w:val="auto"/>
          <w:kern w:val="0"/>
          <w:sz w:val="32"/>
          <w:szCs w:val="32"/>
          <w:lang w:val="en-US" w:eastAsia="zh-CN" w:bidi="ar-SA"/>
        </w:rPr>
        <w:t>建设内容及规模：利用现有约4000平方米厂房，新建机制砂石生产线一条，并购置商砼、水泥稳定碎石等相关配套设备。项目建成后，年产机制砂石160万吨、商砼10万吨、水泥稳定碎石10万吨。项目总投资400万元，其中环保投资为15万元，占总投资的3.75%。</w:t>
      </w:r>
    </w:p>
    <w:p>
      <w:pPr>
        <w:pStyle w:val="2"/>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hint="eastAsia"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rPr>
        <w:t>项目</w:t>
      </w:r>
      <w:r>
        <w:rPr>
          <w:rFonts w:hint="eastAsia" w:ascii="仿宋_GB2312" w:eastAsia="仿宋_GB2312" w:cs="方正仿宋_GB2312"/>
          <w:color w:val="auto"/>
          <w:kern w:val="0"/>
          <w:sz w:val="32"/>
          <w:szCs w:val="32"/>
          <w:lang w:val="en-US" w:eastAsia="zh-CN"/>
        </w:rPr>
        <w:t>不</w:t>
      </w:r>
      <w:r>
        <w:rPr>
          <w:rFonts w:hint="eastAsia" w:ascii="仿宋_GB2312" w:eastAsia="仿宋_GB2312" w:cs="方正仿宋_GB2312"/>
          <w:color w:val="auto"/>
          <w:kern w:val="0"/>
          <w:sz w:val="32"/>
          <w:szCs w:val="32"/>
        </w:rPr>
        <w:t>属于《产业结构调整指导目录》（2024年本）</w:t>
      </w:r>
      <w:r>
        <w:rPr>
          <w:rFonts w:hint="eastAsia" w:ascii="仿宋_GB2312" w:eastAsia="仿宋_GB2312" w:cs="方正仿宋_GB2312"/>
          <w:color w:val="auto"/>
          <w:kern w:val="0"/>
          <w:sz w:val="32"/>
          <w:szCs w:val="32"/>
          <w:lang w:val="en-US" w:eastAsia="zh-CN"/>
        </w:rPr>
        <w:t>限制类、淘汰类内容，允许项目建设项目</w:t>
      </w:r>
      <w:r>
        <w:rPr>
          <w:rFonts w:hint="eastAsia" w:ascii="仿宋_GB2312" w:eastAsia="仿宋_GB2312" w:cs="方正仿宋_GB2312"/>
          <w:color w:val="auto"/>
          <w:kern w:val="0"/>
          <w:sz w:val="32"/>
          <w:szCs w:val="32"/>
        </w:rPr>
        <w:t>；不属于《秦皇岛市限制和禁止投资的产业目录》（2020年修订版）限制和禁止类</w:t>
      </w:r>
      <w:r>
        <w:rPr>
          <w:rFonts w:hint="eastAsia" w:ascii="仿宋_GB2312" w:eastAsia="仿宋_GB2312" w:cs="方正仿宋_GB2312"/>
          <w:color w:val="auto"/>
          <w:kern w:val="0"/>
          <w:sz w:val="32"/>
          <w:szCs w:val="32"/>
          <w:lang w:eastAsia="zh-CN"/>
        </w:rPr>
        <w:t>，</w:t>
      </w:r>
      <w:r>
        <w:rPr>
          <w:rFonts w:hint="eastAsia" w:ascii="仿宋_GB2312" w:eastAsia="仿宋_GB2312" w:cs="方正仿宋_GB2312"/>
          <w:color w:val="auto"/>
          <w:kern w:val="0"/>
          <w:sz w:val="32"/>
          <w:szCs w:val="32"/>
          <w:lang w:val="en-US" w:eastAsia="zh-CN"/>
        </w:rPr>
        <w:t>不属于《环境保护综合名录》（2021年版）高污染、高风险产品名录</w:t>
      </w:r>
      <w:r>
        <w:rPr>
          <w:rFonts w:hint="eastAsia" w:ascii="仿宋_GB2312" w:eastAsia="仿宋_GB2312" w:cs="方正仿宋_GB2312"/>
          <w:color w:val="auto"/>
          <w:kern w:val="0"/>
          <w:sz w:val="32"/>
          <w:szCs w:val="32"/>
        </w:rPr>
        <w:t>；</w:t>
      </w:r>
      <w:r>
        <w:rPr>
          <w:rFonts w:hint="eastAsia" w:ascii="仿宋_GB2312" w:eastAsia="仿宋_GB2312" w:cs="方正仿宋_GB2312"/>
          <w:color w:val="auto"/>
          <w:kern w:val="0"/>
          <w:sz w:val="32"/>
          <w:szCs w:val="32"/>
          <w:lang w:val="en-US" w:eastAsia="zh-CN"/>
        </w:rPr>
        <w:t>项目符合相关规划、产业政策及相关环境管理要求。项目符合《秦皇岛市人民政府关于秦皇岛市“三线一单”生态环境分区管控的实施意见》（秦政字[2021]6号）及《秦皇岛市人民政府关于印发&lt;秦皇岛市生态环境准入清单（更新）&gt;的通知》的要求。本项目符合“三线一单”、土地利用、产业布局总体管控要求。该项目已通过秦皇岛市海港区发展和改革局的企业投资项目备案信息（海发改备〔2023〕247号）。</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000000"/>
          <w:kern w:val="0"/>
          <w:sz w:val="32"/>
          <w:szCs w:val="32"/>
        </w:rPr>
      </w:pPr>
      <w:r>
        <w:rPr>
          <w:rFonts w:hint="eastAsia" w:ascii="仿宋_GB2312" w:eastAsia="仿宋_GB2312" w:cs="方正仿宋_GB2312"/>
          <w:color w:val="auto"/>
          <w:kern w:val="0"/>
          <w:sz w:val="32"/>
          <w:szCs w:val="32"/>
        </w:rPr>
        <w:t>该《报告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》已通过河北绿业环保科技有限公司评估，结合评估意见（绿秦环评［2024］</w:t>
      </w:r>
      <w:r>
        <w:rPr>
          <w:rFonts w:hint="eastAsia" w:ascii="仿宋_GB2312" w:eastAsia="仿宋_GB2312" w:cs="方正仿宋_GB2312"/>
          <w:color w:val="auto"/>
          <w:kern w:val="0"/>
          <w:sz w:val="32"/>
          <w:szCs w:val="32"/>
          <w:lang w:val="en-US" w:eastAsia="zh-CN"/>
        </w:rPr>
        <w:t>033</w:t>
      </w:r>
      <w:r>
        <w:rPr>
          <w:rFonts w:hint="eastAsia" w:ascii="仿宋_GB2312" w:eastAsia="仿宋_GB2312" w:cs="方正仿宋_GB2312"/>
          <w:color w:val="auto"/>
          <w:kern w:val="0"/>
          <w:sz w:val="32"/>
          <w:szCs w:val="32"/>
        </w:rPr>
        <w:t>号）及及公示反馈情况，在项目符合国家和地方产业政策，全面落实环境影响报告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提出的各项污染防治</w:t>
      </w:r>
      <w:r>
        <w:rPr>
          <w:rFonts w:hint="eastAsia" w:ascii="仿宋_GB2312" w:eastAsia="仿宋_GB2312" w:cs="方正仿宋_GB2312"/>
          <w:color w:val="auto"/>
          <w:kern w:val="0"/>
          <w:sz w:val="32"/>
          <w:szCs w:val="32"/>
          <w:lang w:val="en-US" w:eastAsia="zh-CN"/>
        </w:rPr>
        <w:t>及环境保护</w:t>
      </w:r>
      <w:r>
        <w:rPr>
          <w:rFonts w:hint="eastAsia" w:ascii="仿宋_GB2312" w:eastAsia="仿宋_GB2312" w:cs="方正仿宋_GB2312"/>
          <w:color w:val="auto"/>
          <w:kern w:val="0"/>
          <w:sz w:val="32"/>
          <w:szCs w:val="32"/>
        </w:rPr>
        <w:t>措施后，</w:t>
      </w:r>
      <w:r>
        <w:rPr>
          <w:rFonts w:hint="eastAsia" w:ascii="仿宋_GB2312" w:eastAsia="仿宋_GB2312" w:cs="方正仿宋_GB2312"/>
          <w:color w:val="auto"/>
          <w:kern w:val="0"/>
          <w:sz w:val="32"/>
          <w:szCs w:val="32"/>
          <w:lang w:val="en-US" w:eastAsia="zh-CN"/>
        </w:rPr>
        <w:t>项目</w:t>
      </w:r>
      <w:r>
        <w:rPr>
          <w:rFonts w:hint="eastAsia" w:ascii="仿宋_GB2312" w:eastAsia="仿宋_GB2312" w:cs="方正仿宋_GB2312"/>
          <w:color w:val="auto"/>
          <w:kern w:val="0"/>
          <w:sz w:val="32"/>
          <w:szCs w:val="32"/>
        </w:rPr>
        <w:t>建设对</w:t>
      </w:r>
      <w:r>
        <w:rPr>
          <w:rFonts w:hint="eastAsia" w:ascii="仿宋_GB2312" w:eastAsia="仿宋_GB2312" w:cs="方正仿宋_GB2312"/>
          <w:color w:val="000000"/>
          <w:kern w:val="0"/>
          <w:sz w:val="32"/>
          <w:szCs w:val="32"/>
        </w:rPr>
        <w:t>环境的不利影响能够得到减缓和控制。</w:t>
      </w:r>
      <w:r>
        <w:rPr>
          <w:rFonts w:hint="eastAsia" w:ascii="仿宋_GB2312" w:eastAsia="仿宋_GB2312" w:cs="方正仿宋_GB2312"/>
          <w:color w:val="000000"/>
          <w:kern w:val="0"/>
          <w:sz w:val="32"/>
          <w:szCs w:val="32"/>
          <w:lang w:val="en-US" w:eastAsia="zh-CN"/>
        </w:rPr>
        <w:t>从环保角度，</w:t>
      </w:r>
      <w:r>
        <w:rPr>
          <w:rFonts w:hint="eastAsia" w:ascii="仿宋_GB2312" w:eastAsia="仿宋_GB2312" w:cs="方正仿宋_GB2312"/>
          <w:color w:val="000000"/>
          <w:kern w:val="0"/>
          <w:sz w:val="32"/>
          <w:szCs w:val="32"/>
        </w:rPr>
        <w:t>我局原则同意《报告</w:t>
      </w:r>
      <w:r>
        <w:rPr>
          <w:rFonts w:hint="eastAsia" w:ascii="仿宋_GB2312" w:eastAsia="仿宋_GB2312" w:cs="方正仿宋_GB2312"/>
          <w:color w:val="000000"/>
          <w:kern w:val="0"/>
          <w:sz w:val="32"/>
          <w:szCs w:val="32"/>
          <w:lang w:val="en-US" w:eastAsia="zh-CN"/>
        </w:rPr>
        <w:t>表</w:t>
      </w:r>
      <w:r>
        <w:rPr>
          <w:rFonts w:hint="eastAsia" w:ascii="仿宋_GB2312" w:eastAsia="仿宋_GB2312" w:cs="方正仿宋_GB2312"/>
          <w:color w:val="000000"/>
          <w:kern w:val="0"/>
          <w:sz w:val="32"/>
          <w:szCs w:val="32"/>
        </w:rPr>
        <w:t>》结论。你公司须严格按照《报告</w:t>
      </w:r>
      <w:r>
        <w:rPr>
          <w:rFonts w:hint="eastAsia" w:ascii="仿宋_GB2312" w:eastAsia="仿宋_GB2312" w:cs="方正仿宋_GB2312"/>
          <w:color w:val="000000"/>
          <w:kern w:val="0"/>
          <w:sz w:val="32"/>
          <w:szCs w:val="32"/>
          <w:lang w:val="en-US" w:eastAsia="zh-CN"/>
        </w:rPr>
        <w:t>表</w:t>
      </w:r>
      <w:r>
        <w:rPr>
          <w:rFonts w:hint="eastAsia" w:ascii="仿宋_GB2312" w:eastAsia="仿宋_GB2312" w:cs="方正仿宋_GB2312"/>
          <w:color w:val="000000"/>
          <w:kern w:val="0"/>
          <w:sz w:val="32"/>
          <w:szCs w:val="32"/>
        </w:rPr>
        <w:t>》所列建设项目的性质、规模、地点、环保措施及要求等实施项目建设，未列入本报告及批复许可的内容，不得建设投入运行。</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000000"/>
          <w:kern w:val="0"/>
          <w:sz w:val="32"/>
          <w:szCs w:val="32"/>
        </w:rPr>
      </w:pPr>
      <w:r>
        <w:rPr>
          <w:rFonts w:hint="eastAsia" w:ascii="仿宋_GB2312" w:eastAsia="仿宋_GB2312" w:cs="方正仿宋_GB2312"/>
          <w:color w:val="000000"/>
          <w:kern w:val="0"/>
          <w:sz w:val="32"/>
          <w:szCs w:val="32"/>
        </w:rPr>
        <w:t>二、项目须加强全过程管理，强化综合利用，降低能耗物耗，减少各种污染物的产生量和排放量。同时，建设单位在项目建设和运行过程中要认真落实《报告</w:t>
      </w:r>
      <w:r>
        <w:rPr>
          <w:rFonts w:hint="eastAsia" w:ascii="仿宋_GB2312" w:eastAsia="仿宋_GB2312" w:cs="方正仿宋_GB2312"/>
          <w:color w:val="000000"/>
          <w:kern w:val="0"/>
          <w:sz w:val="32"/>
          <w:szCs w:val="32"/>
          <w:lang w:val="en-US" w:eastAsia="zh-CN"/>
        </w:rPr>
        <w:t>表</w:t>
      </w:r>
      <w:r>
        <w:rPr>
          <w:rFonts w:hint="eastAsia" w:ascii="仿宋_GB2312" w:eastAsia="仿宋_GB2312" w:cs="方正仿宋_GB2312"/>
          <w:color w:val="000000"/>
          <w:kern w:val="0"/>
          <w:sz w:val="32"/>
          <w:szCs w:val="32"/>
        </w:rPr>
        <w:t>》提出的各项污染防治措施确保各治污设施正常运行，各种污染物达标排放</w:t>
      </w:r>
      <w:r>
        <w:rPr>
          <w:rFonts w:hint="eastAsia" w:ascii="仿宋_GB2312" w:eastAsia="仿宋_GB2312" w:cs="方正仿宋_GB2312"/>
          <w:color w:val="000000"/>
          <w:kern w:val="0"/>
          <w:sz w:val="32"/>
          <w:szCs w:val="32"/>
          <w:lang w:eastAsia="zh-CN"/>
        </w:rPr>
        <w:t>，</w:t>
      </w:r>
      <w:r>
        <w:rPr>
          <w:rFonts w:hint="eastAsia" w:ascii="仿宋_GB2312" w:eastAsia="仿宋_GB2312" w:cs="方正仿宋_GB2312"/>
          <w:color w:val="000000"/>
          <w:kern w:val="0"/>
          <w:sz w:val="32"/>
          <w:szCs w:val="32"/>
          <w:lang w:val="en-US" w:eastAsia="zh-CN"/>
        </w:rPr>
        <w:t>各项环保设施设计应当由具有环保设施工程设计资质的单位承担，按照要求认真落实各项污染防治措施，加强环保设施运营管理，确保满足相关要求，并重点做好以下工作</w:t>
      </w:r>
      <w:r>
        <w:rPr>
          <w:rFonts w:hint="eastAsia" w:ascii="仿宋_GB2312" w:eastAsia="仿宋_GB2312" w:cs="方正仿宋_GB2312"/>
          <w:color w:val="000000"/>
          <w:kern w:val="0"/>
          <w:sz w:val="32"/>
          <w:szCs w:val="32"/>
        </w:rPr>
        <w:t>：</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hint="eastAsia" w:ascii="仿宋_GB2312" w:eastAsia="仿宋_GB2312" w:cs="方正仿宋_GB2312"/>
          <w:color w:val="000000"/>
          <w:kern w:val="0"/>
          <w:sz w:val="32"/>
          <w:szCs w:val="32"/>
        </w:rPr>
      </w:pPr>
      <w:r>
        <w:rPr>
          <w:rFonts w:hint="eastAsia" w:ascii="仿宋_GB2312" w:eastAsia="仿宋_GB2312" w:cs="方正仿宋_GB2312"/>
          <w:color w:val="000000"/>
          <w:kern w:val="0"/>
          <w:sz w:val="32"/>
          <w:szCs w:val="32"/>
        </w:rPr>
        <w:t>（一）加强施工期环境管理，减少施工对环境的影响。</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hint="eastAsia" w:ascii="仿宋_GB2312" w:eastAsia="仿宋_GB2312" w:cs="方正仿宋_GB2312"/>
          <w:color w:val="000000"/>
          <w:kern w:val="0"/>
          <w:sz w:val="32"/>
          <w:szCs w:val="32"/>
          <w:lang w:val="en-US" w:eastAsia="zh-CN"/>
        </w:rPr>
      </w:pPr>
      <w:r>
        <w:rPr>
          <w:rFonts w:hint="eastAsia" w:ascii="仿宋_GB2312" w:eastAsia="仿宋_GB2312" w:cs="方正仿宋_GB2312"/>
          <w:color w:val="000000"/>
          <w:kern w:val="0"/>
          <w:sz w:val="32"/>
          <w:szCs w:val="32"/>
          <w:lang w:val="en-US" w:eastAsia="zh-CN"/>
        </w:rPr>
        <w:t>1.项目施工的主要内容为为设备安装调试及沉淀水池建设。建设及施工单位要严格执行《秦皇岛市扬尘综合整治专项实施方案》和《河北省扬尘污染防治办法》等文件中有关施工扬尘的管理规定，同时结合《防治城市扬尘污染技术规范》(HJ/T393-2007)及同类施工场地采取的抑尘措施，落实各项控制扬尘污染措施，施工场地扬尘排放执行《施工场地扬尘排放标准》（DB13/2934-2019）的要求。施工废水经沉淀池处理后就地泼洒抑尘，员工生活污水泼洒抑尘。本项目施工阶段作业噪声须满足《建筑施工场界环境噪声排放标准》(GB12523-2011)中限值要求；施工期产生的生活垃圾由环卫部门统一收集处置，建筑垃圾须依法依规进行处置。</w:t>
      </w:r>
    </w:p>
    <w:p>
      <w:pPr>
        <w:pStyle w:val="2"/>
        <w:rPr>
          <w:lang w:val="en-US" w:eastAsia="zh-CN"/>
        </w:rPr>
      </w:pPr>
      <w:r>
        <w:rPr>
          <w:rFonts w:hint="eastAsia" w:ascii="仿宋_GB2312" w:eastAsia="仿宋_GB2312" w:cs="方正仿宋_GB2312"/>
          <w:color w:val="000000"/>
          <w:kern w:val="0"/>
          <w:sz w:val="32"/>
          <w:szCs w:val="32"/>
          <w:lang w:val="en-US" w:eastAsia="zh-CN"/>
        </w:rPr>
        <w:t>2.加强防腐防渗措施。按《报告表》要求落实相应的防腐防渗施工。</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000000"/>
          <w:kern w:val="0"/>
          <w:sz w:val="32"/>
          <w:szCs w:val="32"/>
        </w:rPr>
      </w:pPr>
      <w:r>
        <w:rPr>
          <w:rFonts w:hint="eastAsia" w:ascii="仿宋_GB2312" w:eastAsia="仿宋_GB2312" w:cs="方正仿宋_GB2312"/>
          <w:color w:val="000000"/>
          <w:kern w:val="0"/>
          <w:sz w:val="32"/>
          <w:szCs w:val="32"/>
        </w:rPr>
        <w:t>（二）加强运营期环保设施管理，认真落实各项污染防治措施</w:t>
      </w:r>
      <w:r>
        <w:rPr>
          <w:rFonts w:hint="eastAsia" w:ascii="仿宋_GB2312" w:eastAsia="仿宋_GB2312" w:cs="方正仿宋_GB2312"/>
          <w:color w:val="000000"/>
          <w:kern w:val="0"/>
          <w:sz w:val="32"/>
          <w:szCs w:val="32"/>
          <w:lang w:val="en-US" w:eastAsia="zh-CN"/>
        </w:rPr>
        <w:t>及环境保护措施</w:t>
      </w:r>
      <w:r>
        <w:rPr>
          <w:rFonts w:hint="eastAsia" w:ascii="仿宋_GB2312" w:eastAsia="仿宋_GB2312" w:cs="方正仿宋_GB2312"/>
          <w:color w:val="000000"/>
          <w:kern w:val="0"/>
          <w:sz w:val="32"/>
          <w:szCs w:val="32"/>
        </w:rPr>
        <w:t>，确保满足相关</w:t>
      </w:r>
      <w:r>
        <w:rPr>
          <w:rFonts w:hint="eastAsia" w:ascii="仿宋_GB2312" w:eastAsia="仿宋_GB2312" w:cs="方正仿宋_GB2312"/>
          <w:color w:val="000000"/>
          <w:kern w:val="0"/>
          <w:sz w:val="32"/>
          <w:szCs w:val="32"/>
          <w:lang w:val="en-US" w:eastAsia="zh-CN"/>
        </w:rPr>
        <w:t>政策及管理</w:t>
      </w:r>
      <w:r>
        <w:rPr>
          <w:rFonts w:hint="eastAsia" w:ascii="仿宋_GB2312" w:eastAsia="仿宋_GB2312" w:cs="方正仿宋_GB2312"/>
          <w:color w:val="000000"/>
          <w:kern w:val="0"/>
          <w:sz w:val="32"/>
          <w:szCs w:val="32"/>
        </w:rPr>
        <w:t>要求。</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ascii="仿宋_GB2312" w:eastAsia="仿宋_GB2312" w:cs="方正仿宋_GB2312"/>
          <w:color w:val="000000"/>
          <w:kern w:val="0"/>
          <w:sz w:val="32"/>
          <w:szCs w:val="32"/>
          <w:lang w:val="en-US" w:eastAsia="zh-CN"/>
        </w:rPr>
      </w:pPr>
      <w:r>
        <w:rPr>
          <w:rFonts w:hint="eastAsia" w:ascii="仿宋_GB2312" w:eastAsia="仿宋_GB2312" w:cs="方正仿宋_GB2312"/>
          <w:color w:val="000000"/>
          <w:kern w:val="0"/>
          <w:sz w:val="32"/>
          <w:szCs w:val="32"/>
        </w:rPr>
        <w:t>1.</w:t>
      </w:r>
      <w:r>
        <w:rPr>
          <w:rFonts w:hint="eastAsia" w:ascii="仿宋_GB2312" w:eastAsia="仿宋_GB2312" w:cs="方正仿宋_GB2312"/>
          <w:color w:val="000000"/>
          <w:kern w:val="0"/>
          <w:sz w:val="32"/>
          <w:szCs w:val="32"/>
          <w:lang w:val="en-US" w:eastAsia="zh-CN"/>
        </w:rPr>
        <w:t>严格落实大气污染防治措施</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本项目入料口、破碎工序产生的粉尘经各设置集气罩收集后经布袋除尘器处理，通过1根15m高排气筒（DA001）排放。所排废气须满足《石灰、电石工业大气污染物排放标准》（GB1618-2022）表1中“破碎机及其他生产工序或设施”大气污染物排放限值。</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hint="eastAsia"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本项目水泥储罐采用负压吸风，呼吸孔通过管道连接自带的布袋除尘器，处理后经1根15m高排气筒（DA002）排放。商砼、水泥稳定机制碎石入料过程粉尘，原料区和入料口设置喷雾抑尘，在入料口上方设置一个集气罩，入料粉尘经集气罩收集后通过布袋除尘器处理后，经1根15m高排气筒（DA002）排放。所排废气须满足《水泥工业大气污染物排放标准》（GB4915-2013）中表2相关标准限值、《秦皇岛市人民政府办公室关于执行钢铁等行业大气污染物排放特别要求的通知》（[2021]-10）中水泥行业标准。</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无组织废气主要为运输过程废气、卸料过程粉尘、成品装车粉尘及各有组织排放源未能有效收集的废气，污染物为颗粒物。为减少无组织废气排放，通过采用苫布苫盖车厢运输块状物料，密闭式气力输送罐车运输粉状物料，并采取定期清扫、洒水抑尘的措施，厂区出口建设洗车平台1套，原料区、成品区采用喷雾抑尘，物料转运采用封闭式皮带输送机等有效措施。厂区内无组织废气须满足《石灰、电石工业大气污染物排放标准》（GB41618-2022）中表A.1排放限值；厂界无组织废气须满足《水泥工业大气污染物排放标准》（GB4915-2013）中表3相关标准限值及《秦皇岛市人民政府办公室关于执行钢铁等行业大气污染物排放特别要求的通知》（[2021]-10）中无组织排放浓度特别管控要求。</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2.严格落实废水污染防治措施。</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hint="eastAsia"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项目职工日常盥洗废水水量小，水质简单，用于厂区道路抑尘，不设食堂、洗浴等生活设施，防渗旱厕定期清掏用于农田肥料。本项目生产废水为洗车废水、筛分废水、脱水废水、罐车清洗废水经沉淀池收集后循环使用，不外排。</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3.严格落实噪声环境保护措施。</w:t>
      </w:r>
    </w:p>
    <w:p>
      <w:pPr>
        <w:keepNext w:val="0"/>
        <w:keepLines w:val="0"/>
        <w:pageBreakBefore w:val="0"/>
        <w:widowControl w:val="0"/>
        <w:kinsoku/>
        <w:wordWrap/>
        <w:overflowPunct/>
        <w:topLinePunct w:val="0"/>
        <w:autoSpaceDE/>
        <w:autoSpaceDN/>
        <w:adjustRightInd w:val="0"/>
        <w:snapToGrid w:val="0"/>
        <w:spacing w:after="0" w:afterLines="0" w:line="560" w:lineRule="exact"/>
        <w:ind w:left="0" w:firstLine="640" w:firstLineChars="200"/>
        <w:rPr>
          <w:rFonts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项目采取低噪声设备、基础减振、厂房隔声等措施后，厂界噪声须满足</w:t>
      </w:r>
      <w:r>
        <w:rPr>
          <w:rFonts w:hint="eastAsia" w:ascii="仿宋_GB2312" w:eastAsia="仿宋_GB2312" w:cs="方正仿宋_GB2312"/>
          <w:color w:val="auto"/>
          <w:kern w:val="0"/>
          <w:sz w:val="32"/>
          <w:szCs w:val="32"/>
        </w:rPr>
        <w:t>《工业企业厂界环境噪声排放标准》（GB12348-2008）</w:t>
      </w:r>
      <w:r>
        <w:rPr>
          <w:rFonts w:hint="eastAsia" w:ascii="仿宋_GB2312" w:eastAsia="仿宋_GB2312" w:cs="方正仿宋_GB2312"/>
          <w:color w:val="auto"/>
          <w:kern w:val="0"/>
          <w:sz w:val="32"/>
          <w:szCs w:val="32"/>
          <w:lang w:val="en-US" w:eastAsia="zh-CN"/>
        </w:rPr>
        <w:t>相关标准要求</w:t>
      </w:r>
      <w:r>
        <w:rPr>
          <w:rFonts w:hint="eastAsia" w:ascii="仿宋_GB2312" w:eastAsia="仿宋_GB2312" w:cs="方正仿宋_GB2312"/>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4.严格落实固体废物污染防治措施</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lang w:val="en-US" w:eastAsia="zh-CN"/>
        </w:rPr>
        <w:t>项目产生的除尘灰、泥沙回用于生产，废布袋集中收集外售；生活垃圾交由环卫部门处置。废液压油、废油桶、废机油存储于厂区1座15m</w:t>
      </w:r>
      <w:r>
        <w:rPr>
          <w:rFonts w:hint="eastAsia" w:ascii="仿宋_GB2312" w:eastAsia="仿宋_GB2312" w:cs="方正仿宋_GB2312"/>
          <w:color w:val="auto"/>
          <w:kern w:val="0"/>
          <w:sz w:val="32"/>
          <w:szCs w:val="32"/>
          <w:vertAlign w:val="superscript"/>
          <w:lang w:val="en-US" w:eastAsia="zh-CN"/>
        </w:rPr>
        <w:t>2</w:t>
      </w:r>
      <w:r>
        <w:rPr>
          <w:rFonts w:hint="eastAsia" w:ascii="仿宋_GB2312" w:eastAsia="仿宋_GB2312" w:cs="方正仿宋_GB2312"/>
          <w:color w:val="auto"/>
          <w:kern w:val="0"/>
          <w:sz w:val="32"/>
          <w:szCs w:val="32"/>
          <w:lang w:val="en-US" w:eastAsia="zh-CN"/>
        </w:rPr>
        <w:t>危废贮存点</w:t>
      </w:r>
      <w:r>
        <w:rPr>
          <w:rFonts w:hint="eastAsia" w:ascii="仿宋_GB2312" w:eastAsia="仿宋_GB2312" w:cs="方正仿宋_GB2312"/>
          <w:color w:val="auto"/>
          <w:kern w:val="0"/>
          <w:sz w:val="32"/>
          <w:szCs w:val="32"/>
          <w:lang w:val="en-US" w:eastAsia="zh-CN"/>
        </w:rPr>
        <w:t>，定期交由有资质单位处置。危废贮存点建设须满足《危险废物贮存污染控制标准》（GB 18597-2023）要求。</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right="0" w:firstLine="640" w:firstLineChars="200"/>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lang w:val="en-US" w:eastAsia="zh-CN"/>
        </w:rPr>
        <w:t>5</w:t>
      </w:r>
      <w:r>
        <w:rPr>
          <w:rFonts w:hint="eastAsia" w:ascii="仿宋_GB2312" w:eastAsia="仿宋_GB2312" w:cs="方正仿宋_GB2312"/>
          <w:color w:val="auto"/>
          <w:kern w:val="0"/>
          <w:sz w:val="32"/>
          <w:szCs w:val="32"/>
        </w:rPr>
        <w:t>.认真落实《报告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》其他</w:t>
      </w:r>
      <w:bookmarkStart w:id="0" w:name="_GoBack"/>
      <w:bookmarkEnd w:id="0"/>
      <w:r>
        <w:rPr>
          <w:rFonts w:hint="eastAsia" w:ascii="仿宋_GB2312" w:eastAsia="仿宋_GB2312" w:cs="方正仿宋_GB2312"/>
          <w:color w:val="auto"/>
          <w:kern w:val="0"/>
          <w:sz w:val="32"/>
          <w:szCs w:val="32"/>
        </w:rPr>
        <w:t>环境管理要求。</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rPr>
        <w:t>三、强化环境风险防范和应急措施。制订完善的环境管理、风险管理措施，设施配备齐全，加强相关人员培训。加强风险源管控，严格落实《报告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》中环境风险防范措施，编写突发环境事件应急预案、备案，并与当地政府及相关部门应急预案做好衔接，定期进行应急培训和演练，有效防范和应对环境风险。</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ascii="仿宋_GB2312" w:eastAsia="仿宋_GB2312" w:cs="方正仿宋_GB2312"/>
          <w:color w:val="auto"/>
          <w:kern w:val="0"/>
          <w:sz w:val="32"/>
          <w:szCs w:val="32"/>
          <w:lang w:val="en-US" w:eastAsia="zh-CN"/>
        </w:rPr>
      </w:pPr>
      <w:r>
        <w:rPr>
          <w:rFonts w:hint="eastAsia" w:ascii="仿宋_GB2312" w:eastAsia="仿宋_GB2312" w:cs="方正仿宋_GB2312"/>
          <w:color w:val="auto"/>
          <w:kern w:val="0"/>
          <w:sz w:val="32"/>
          <w:szCs w:val="32"/>
        </w:rPr>
        <w:t>四、</w:t>
      </w:r>
      <w:r>
        <w:rPr>
          <w:rFonts w:hint="eastAsia" w:ascii="仿宋_GB2312" w:eastAsia="仿宋_GB2312" w:cs="方正仿宋_GB2312"/>
          <w:color w:val="auto"/>
          <w:kern w:val="0"/>
          <w:sz w:val="32"/>
          <w:szCs w:val="32"/>
          <w:lang w:val="en-US" w:eastAsia="zh-CN"/>
        </w:rPr>
        <w:t>认真落实《报告表》中规定的污染防治措施及清洁生产措施，项目实施后，企业须按照国家排污许可有关管理规定及时办理排污许可证。</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auto"/>
          <w:kern w:val="0"/>
          <w:sz w:val="32"/>
          <w:szCs w:val="32"/>
          <w:lang w:eastAsia="zh-CN"/>
        </w:rPr>
      </w:pPr>
      <w:r>
        <w:rPr>
          <w:rFonts w:hint="eastAsia" w:ascii="仿宋_GB2312" w:eastAsia="仿宋_GB2312" w:cs="方正仿宋_GB2312"/>
          <w:color w:val="auto"/>
          <w:kern w:val="0"/>
          <w:sz w:val="32"/>
          <w:szCs w:val="32"/>
          <w:lang w:val="en-US" w:eastAsia="zh-CN"/>
        </w:rPr>
        <w:t>五、</w:t>
      </w:r>
      <w:r>
        <w:rPr>
          <w:rFonts w:hint="eastAsia" w:ascii="仿宋_GB2312" w:eastAsia="仿宋_GB2312" w:cs="方正仿宋_GB2312"/>
          <w:color w:val="auto"/>
          <w:kern w:val="0"/>
          <w:sz w:val="32"/>
          <w:szCs w:val="32"/>
        </w:rPr>
        <w:t>在项目运营过程中，应建立畅通的公众参与平台，及时解决公众关注的环境问题，满足公众合理的环境诉求。定期发布企业环境信息，主动接受社会监督。并对《报告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》要求的监测内容定期开展监测。企业应按照环境监测管理规定和技术规范的要求，设计、建设、维护永久性采样口、采样测试平台</w:t>
      </w:r>
      <w:r>
        <w:rPr>
          <w:rFonts w:hint="eastAsia" w:ascii="仿宋_GB2312" w:eastAsia="仿宋_GB2312" w:cs="方正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firstLine="640" w:firstLineChars="200"/>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lang w:val="en-US" w:eastAsia="zh-CN"/>
        </w:rPr>
        <w:t>六</w:t>
      </w:r>
      <w:r>
        <w:rPr>
          <w:rFonts w:hint="eastAsia" w:ascii="仿宋_GB2312" w:eastAsia="仿宋_GB2312" w:cs="方正仿宋_GB2312"/>
          <w:color w:val="auto"/>
          <w:kern w:val="0"/>
          <w:sz w:val="32"/>
          <w:szCs w:val="32"/>
        </w:rPr>
        <w:t>、本项目建设必须严格执行配套建设的环境保护设施与主体工程同时设计、同时施工、同时投产使用的环境保护“三同时”制度。项目竣工后，按规定开展竣工环境保护验收。验收合格后，项目方可正式投入生产，未经验收或者验收不合格的，不得投入生产或者使用。本项目环境影响评价文件经批准后，如设计和施工变化造成工程性质、规模、工艺、防治污染</w:t>
      </w:r>
      <w:r>
        <w:rPr>
          <w:rFonts w:hint="eastAsia" w:ascii="仿宋_GB2312" w:eastAsia="仿宋_GB2312" w:cs="方正仿宋_GB2312"/>
          <w:color w:val="auto"/>
          <w:kern w:val="0"/>
          <w:sz w:val="32"/>
          <w:szCs w:val="32"/>
          <w:lang w:eastAsia="zh-CN"/>
        </w:rPr>
        <w:t>、</w:t>
      </w:r>
      <w:r>
        <w:rPr>
          <w:rFonts w:hint="eastAsia" w:ascii="仿宋_GB2312" w:eastAsia="仿宋_GB2312" w:cs="方正仿宋_GB2312"/>
          <w:color w:val="auto"/>
          <w:kern w:val="0"/>
          <w:sz w:val="32"/>
          <w:szCs w:val="32"/>
          <w:lang w:val="en-US" w:eastAsia="zh-CN"/>
        </w:rPr>
        <w:t>防止环境破坏的</w:t>
      </w:r>
      <w:r>
        <w:rPr>
          <w:rFonts w:hint="eastAsia" w:ascii="仿宋_GB2312" w:eastAsia="仿宋_GB2312" w:cs="方正仿宋_GB2312"/>
          <w:color w:val="auto"/>
          <w:kern w:val="0"/>
          <w:sz w:val="32"/>
          <w:szCs w:val="32"/>
        </w:rPr>
        <w:t>措施发生重大变动的，应当在调整前重新报批本项目环境影响评价文件。</w:t>
      </w:r>
      <w:r>
        <w:rPr>
          <w:rFonts w:hint="eastAsia" w:ascii="仿宋_GB2312" w:eastAsia="仿宋_GB2312" w:cs="方正仿宋_GB2312"/>
          <w:color w:val="auto"/>
          <w:kern w:val="0"/>
          <w:sz w:val="32"/>
          <w:szCs w:val="32"/>
          <w:lang w:val="en-US" w:eastAsia="zh-CN"/>
        </w:rPr>
        <w:t>项目</w:t>
      </w:r>
      <w:r>
        <w:rPr>
          <w:rFonts w:hint="eastAsia" w:ascii="仿宋_GB2312" w:eastAsia="仿宋_GB2312" w:cs="方正仿宋_GB2312"/>
          <w:color w:val="auto"/>
          <w:kern w:val="0"/>
          <w:sz w:val="32"/>
          <w:szCs w:val="32"/>
        </w:rPr>
        <w:t>自批复之日起五年后方决定开工建设的，需将环评文件报我局重新审核。</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firstLine="640" w:firstLineChars="200"/>
        <w:textAlignment w:val="auto"/>
        <w:outlineLvl w:val="9"/>
        <w:rPr>
          <w:rFonts w:hint="eastAsia" w:ascii="仿宋_GB2312" w:eastAsia="仿宋_GB2312"/>
          <w:color w:val="auto"/>
          <w:kern w:val="0"/>
          <w:sz w:val="32"/>
          <w:szCs w:val="32"/>
        </w:rPr>
      </w:pPr>
      <w:r>
        <w:rPr>
          <w:rFonts w:hint="eastAsia" w:ascii="仿宋_GB2312" w:eastAsia="仿宋_GB2312" w:cs="方正仿宋_GB2312"/>
          <w:color w:val="auto"/>
          <w:kern w:val="0"/>
          <w:sz w:val="32"/>
          <w:szCs w:val="32"/>
          <w:lang w:val="en-US" w:eastAsia="zh-CN"/>
        </w:rPr>
        <w:t>七</w:t>
      </w:r>
      <w:r>
        <w:rPr>
          <w:rFonts w:hint="eastAsia" w:ascii="仿宋_GB2312" w:eastAsia="仿宋_GB2312" w:cs="方正仿宋_GB2312"/>
          <w:color w:val="auto"/>
          <w:kern w:val="0"/>
          <w:sz w:val="32"/>
          <w:szCs w:val="32"/>
        </w:rPr>
        <w:t>、你</w:t>
      </w:r>
      <w:r>
        <w:rPr>
          <w:rFonts w:hint="eastAsia" w:ascii="仿宋_GB2312" w:eastAsia="仿宋_GB2312" w:cs="方正仿宋_GB2312"/>
          <w:color w:val="auto"/>
          <w:kern w:val="0"/>
          <w:sz w:val="32"/>
          <w:szCs w:val="32"/>
          <w:lang w:val="en-US" w:eastAsia="zh-CN"/>
        </w:rPr>
        <w:t>公司</w:t>
      </w:r>
      <w:r>
        <w:rPr>
          <w:rFonts w:hint="eastAsia" w:ascii="仿宋_GB2312" w:eastAsia="仿宋_GB2312" w:cs="方正仿宋_GB2312"/>
          <w:color w:val="auto"/>
          <w:kern w:val="0"/>
          <w:sz w:val="32"/>
          <w:szCs w:val="32"/>
        </w:rPr>
        <w:t>在接到本批复后的10个工作日内，须将环评报告</w:t>
      </w:r>
      <w:r>
        <w:rPr>
          <w:rFonts w:hint="eastAsia" w:ascii="仿宋_GB2312" w:eastAsia="仿宋_GB2312" w:cs="方正仿宋_GB2312"/>
          <w:color w:val="auto"/>
          <w:kern w:val="0"/>
          <w:sz w:val="32"/>
          <w:szCs w:val="32"/>
          <w:lang w:val="en-US" w:eastAsia="zh-CN"/>
        </w:rPr>
        <w:t>表</w:t>
      </w:r>
      <w:r>
        <w:rPr>
          <w:rFonts w:hint="eastAsia" w:ascii="仿宋_GB2312" w:eastAsia="仿宋_GB2312" w:cs="方正仿宋_GB2312"/>
          <w:color w:val="auto"/>
          <w:kern w:val="0"/>
          <w:sz w:val="32"/>
          <w:szCs w:val="32"/>
        </w:rPr>
        <w:t>及其批复</w:t>
      </w:r>
      <w:r>
        <w:rPr>
          <w:rFonts w:hint="eastAsia" w:ascii="仿宋_GB2312" w:eastAsia="仿宋_GB2312" w:cs="方正仿宋_GB2312"/>
          <w:b w:val="0"/>
          <w:bCs w:val="0"/>
          <w:color w:val="auto"/>
          <w:spacing w:val="0"/>
          <w:kern w:val="0"/>
          <w:sz w:val="32"/>
          <w:szCs w:val="32"/>
        </w:rPr>
        <w:t>送至生态环境行政主管部门备案，</w:t>
      </w:r>
      <w:r>
        <w:rPr>
          <w:rFonts w:hint="eastAsia" w:ascii="仿宋_GB2312" w:eastAsia="仿宋_GB2312" w:cs="方正仿宋_GB2312"/>
          <w:b w:val="0"/>
          <w:bCs w:val="0"/>
          <w:color w:val="auto"/>
          <w:spacing w:val="0"/>
          <w:kern w:val="0"/>
          <w:sz w:val="32"/>
          <w:szCs w:val="32"/>
          <w:shd w:val="clear" w:color="auto" w:fill="FFFFFF"/>
        </w:rPr>
        <w:t>并按规定接受各级生态环境行政主管部门的监督检查。</w:t>
      </w:r>
    </w:p>
    <w:p>
      <w:pPr>
        <w:keepNext w:val="0"/>
        <w:keepLines w:val="0"/>
        <w:pageBreakBefore w:val="0"/>
        <w:widowControl w:val="0"/>
        <w:kinsoku/>
        <w:wordWrap/>
        <w:overflowPunct/>
        <w:topLinePunct w:val="0"/>
        <w:autoSpaceDE/>
        <w:autoSpaceDN/>
        <w:bidi w:val="0"/>
        <w:adjustRightInd w:val="0"/>
        <w:snapToGrid w:val="0"/>
        <w:spacing w:after="0" w:afterLines="0" w:line="500" w:lineRule="exact"/>
        <w:ind w:left="0" w:right="0"/>
        <w:jc w:val="right"/>
        <w:textAlignment w:val="auto"/>
        <w:rPr>
          <w:rFonts w:hint="eastAsia" w:ascii="仿宋_GB2312" w:eastAsia="仿宋_GB2312" w:cs="方正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afterLines="0" w:line="500" w:lineRule="exact"/>
        <w:ind w:left="0" w:right="0"/>
        <w:jc w:val="right"/>
        <w:textAlignment w:val="auto"/>
        <w:rPr>
          <w:rFonts w:hint="eastAsia" w:ascii="仿宋_GB2312" w:eastAsia="仿宋_GB2312" w:cs="方正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0" w:afterLines="0" w:line="500" w:lineRule="exact"/>
        <w:ind w:left="0" w:right="0"/>
        <w:jc w:val="right"/>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lang w:val="en-US" w:eastAsia="zh-CN"/>
        </w:rPr>
        <w:t xml:space="preserve">   </w:t>
      </w:r>
      <w:r>
        <w:rPr>
          <w:rFonts w:hint="eastAsia" w:ascii="仿宋_GB2312" w:eastAsia="仿宋_GB2312" w:cs="方正仿宋_GB2312"/>
          <w:color w:val="auto"/>
          <w:kern w:val="0"/>
          <w:sz w:val="32"/>
          <w:szCs w:val="32"/>
        </w:rPr>
        <w:t>秦皇岛市行政审批局</w:t>
      </w:r>
    </w:p>
    <w:p>
      <w:pPr>
        <w:keepNext w:val="0"/>
        <w:keepLines w:val="0"/>
        <w:pageBreakBefore w:val="0"/>
        <w:widowControl w:val="0"/>
        <w:kinsoku/>
        <w:wordWrap/>
        <w:overflowPunct/>
        <w:topLinePunct w:val="0"/>
        <w:autoSpaceDE/>
        <w:autoSpaceDN/>
        <w:bidi w:val="0"/>
        <w:adjustRightInd w:val="0"/>
        <w:snapToGrid w:val="0"/>
        <w:spacing w:after="0" w:afterLines="0" w:line="560" w:lineRule="exact"/>
        <w:ind w:left="0" w:right="0"/>
        <w:jc w:val="right"/>
        <w:textAlignment w:val="auto"/>
        <w:rPr>
          <w:rFonts w:hint="eastAsia" w:ascii="仿宋_GB2312" w:eastAsia="仿宋_GB2312" w:cs="方正仿宋_GB2312"/>
          <w:color w:val="auto"/>
          <w:kern w:val="0"/>
          <w:sz w:val="32"/>
          <w:szCs w:val="32"/>
        </w:rPr>
      </w:pPr>
      <w:r>
        <w:rPr>
          <w:rFonts w:hint="eastAsia" w:ascii="仿宋_GB2312" w:eastAsia="仿宋_GB2312" w:cs="方正仿宋_GB2312"/>
          <w:color w:val="auto"/>
          <w:kern w:val="0"/>
          <w:sz w:val="32"/>
          <w:szCs w:val="32"/>
        </w:rPr>
        <w:t xml:space="preserve">  </w:t>
      </w:r>
      <w:r>
        <w:rPr>
          <w:rFonts w:hint="eastAsia" w:ascii="仿宋_GB2312" w:eastAsia="仿宋_GB2312" w:cs="方正仿宋_GB2312"/>
          <w:color w:val="auto"/>
          <w:kern w:val="0"/>
          <w:sz w:val="32"/>
          <w:szCs w:val="32"/>
          <w:lang w:val="en-US" w:eastAsia="zh-CN"/>
        </w:rPr>
        <w:t xml:space="preserve">                                     </w:t>
      </w:r>
      <w:r>
        <w:rPr>
          <w:rFonts w:hint="eastAsia" w:ascii="仿宋_GB2312" w:eastAsia="仿宋_GB2312" w:cs="方正仿宋_GB2312"/>
          <w:color w:val="auto"/>
          <w:kern w:val="0"/>
          <w:sz w:val="32"/>
          <w:szCs w:val="32"/>
        </w:rPr>
        <w:t>2024年</w:t>
      </w:r>
      <w:r>
        <w:rPr>
          <w:rFonts w:hint="eastAsia" w:ascii="仿宋_GB2312" w:eastAsia="仿宋_GB2312" w:cs="方正仿宋_GB2312"/>
          <w:color w:val="auto"/>
          <w:kern w:val="0"/>
          <w:sz w:val="32"/>
          <w:szCs w:val="32"/>
          <w:lang w:val="en-US" w:eastAsia="zh-CN"/>
        </w:rPr>
        <w:t>7</w:t>
      </w:r>
      <w:r>
        <w:rPr>
          <w:rFonts w:hint="eastAsia" w:ascii="仿宋_GB2312" w:eastAsia="仿宋_GB2312" w:cs="方正仿宋_GB2312"/>
          <w:color w:val="auto"/>
          <w:kern w:val="0"/>
          <w:sz w:val="32"/>
          <w:szCs w:val="32"/>
        </w:rPr>
        <w:t>月</w:t>
      </w:r>
      <w:r>
        <w:rPr>
          <w:rFonts w:hint="eastAsia" w:ascii="仿宋_GB2312" w:eastAsia="仿宋_GB2312" w:cs="方正仿宋_GB2312"/>
          <w:color w:val="auto"/>
          <w:kern w:val="0"/>
          <w:sz w:val="32"/>
          <w:szCs w:val="32"/>
          <w:lang w:val="en-US" w:eastAsia="zh-CN"/>
        </w:rPr>
        <w:t>1</w:t>
      </w:r>
      <w:r>
        <w:rPr>
          <w:rFonts w:hint="eastAsia" w:ascii="仿宋_GB2312" w:eastAsia="仿宋_GB2312" w:cs="方正仿宋_GB2312"/>
          <w:color w:val="auto"/>
          <w:kern w:val="0"/>
          <w:sz w:val="32"/>
          <w:szCs w:val="32"/>
        </w:rPr>
        <w:t>日</w:t>
      </w:r>
    </w:p>
    <w:sectPr>
      <w:footerReference r:id="rId7" w:type="first"/>
      <w:footerReference r:id="rId5" w:type="default"/>
      <w:footerReference r:id="rId6" w:type="even"/>
      <w:pgSz w:w="11907" w:h="16840"/>
      <w:pgMar w:top="2098" w:right="1474" w:bottom="1985" w:left="1588"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A9A2BEEB-A786-404A-8C52-8B276CBBBC74}"/>
  </w:font>
  <w:font w:name="仿宋_GB2312">
    <w:panose1 w:val="02010609030101010101"/>
    <w:charset w:val="86"/>
    <w:family w:val="modern"/>
    <w:pitch w:val="default"/>
    <w:sig w:usb0="00000001" w:usb1="080E0000" w:usb2="00000000" w:usb3="00000000" w:csb0="00040000" w:csb1="00000000"/>
    <w:embedRegular r:id="rId2" w:fontKey="{D8DAD684-B59E-4939-B29B-A9484B88AD9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Fonts w:ascii="宋体"/>
        <w:sz w:val="28"/>
        <w:szCs w:val="28"/>
      </w:rPr>
    </w:pPr>
    <w:r>
      <w:rPr>
        <w:rStyle w:val="17"/>
        <w:rFonts w:hint="eastAsia" w:ascii="宋体"/>
        <w:sz w:val="28"/>
        <w:szCs w:val="28"/>
      </w:rPr>
      <w:fldChar w:fldCharType="begin"/>
    </w:r>
    <w:r>
      <w:rPr>
        <w:rStyle w:val="17"/>
        <w:rFonts w:hint="eastAsia" w:ascii="宋体"/>
        <w:sz w:val="28"/>
        <w:szCs w:val="28"/>
      </w:rPr>
      <w:instrText xml:space="preserve">Page</w:instrText>
    </w:r>
    <w:r>
      <w:rPr>
        <w:rStyle w:val="17"/>
        <w:rFonts w:hint="eastAsia" w:ascii="宋体"/>
        <w:sz w:val="28"/>
        <w:szCs w:val="28"/>
      </w:rPr>
      <w:fldChar w:fldCharType="separate"/>
    </w:r>
    <w:r>
      <w:rPr>
        <w:rStyle w:val="17"/>
        <w:rFonts w:hint="eastAsia" w:ascii="宋体"/>
        <w:sz w:val="28"/>
        <w:szCs w:val="28"/>
      </w:rPr>
      <w:t>- 1 -</w:t>
    </w:r>
    <w:r>
      <w:rPr>
        <w:rStyle w:val="17"/>
        <w:rFonts w:hint="eastAsia" w:asci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pPr>
    <w:r>
      <w:rPr>
        <w:rStyle w:val="17"/>
      </w:rPr>
      <w:fldChar w:fldCharType="begin"/>
    </w:r>
    <w:r>
      <w:rPr>
        <w:rStyle w:val="17"/>
      </w:rPr>
      <w:instrText xml:space="preserve">Page</w:instrText>
    </w:r>
    <w:r>
      <w:rPr>
        <w:rStyle w:val="17"/>
      </w:rPr>
      <w:fldChar w:fldCharType="separate"/>
    </w:r>
    <w:r>
      <w:rPr>
        <w:rStyle w:val="17"/>
      </w:rPr>
      <w:t>- 1 -</w:t>
    </w:r>
    <w:r>
      <w:rPr>
        <w:rStyle w:val="17"/>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pPr>
    <w:r>
      <w:rPr>
        <w:rStyle w:val="17"/>
      </w:rPr>
      <w:fldChar w:fldCharType="begin"/>
    </w:r>
    <w:r>
      <w:rPr>
        <w:rStyle w:val="17"/>
      </w:rPr>
      <w:instrText xml:space="preserve">Page</w:instrText>
    </w:r>
    <w:r>
      <w:rPr>
        <w:rStyle w:val="17"/>
      </w:rPr>
      <w:fldChar w:fldCharType="separate"/>
    </w:r>
    <w:r>
      <w:rPr>
        <w:rStyle w:val="17"/>
      </w:rPr>
      <w:t>- 1 -</w:t>
    </w:r>
    <w:r>
      <w:rPr>
        <w:rStyle w:val="17"/>
      </w:rPr>
      <w:fldChar w:fldCharType="end"/>
    </w:r>
  </w:p>
  <w:p>
    <w:pPr>
      <w:pStyle w:val="1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YjEyZmQ0NjY2NTQzNDU0NzQzMzI3MTM1OGI2NmQzMmEifQ=="/>
  </w:docVars>
  <w:rsids>
    <w:rsidRoot w:val="00000000"/>
    <w:rsid w:val="11482D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spacing w:after="50" w:afterLines="50" w:line="240" w:lineRule="auto"/>
      <w:jc w:val="both"/>
    </w:pPr>
    <w:rPr>
      <w:rFonts w:ascii="Calibri" w:hAnsi="Calibri" w:eastAsia="宋体" w:cs="Arial"/>
      <w:kern w:val="2"/>
      <w:sz w:val="21"/>
      <w:szCs w:val="22"/>
      <w:lang w:val="en-US" w:eastAsia="zh-CN" w:bidi="ar-SA"/>
    </w:rPr>
  </w:style>
  <w:style w:type="paragraph" w:styleId="4">
    <w:name w:val="heading 1"/>
    <w:basedOn w:val="1"/>
    <w:next w:val="1"/>
    <w:autoRedefine/>
    <w:uiPriority w:val="0"/>
    <w:pPr>
      <w:keepNext/>
      <w:keepLines/>
      <w:widowControl w:val="0"/>
      <w:spacing w:before="340" w:after="330" w:afterLines="0" w:line="578" w:lineRule="auto"/>
      <w:outlineLvl w:val="0"/>
    </w:pPr>
    <w:rPr>
      <w:b/>
      <w:bCs/>
      <w:kern w:val="44"/>
      <w:sz w:val="44"/>
      <w:szCs w:val="44"/>
    </w:rPr>
  </w:style>
  <w:style w:type="paragraph" w:styleId="5">
    <w:name w:val="heading 2"/>
    <w:basedOn w:val="1"/>
    <w:next w:val="1"/>
    <w:autoRedefine/>
    <w:uiPriority w:val="0"/>
    <w:pPr>
      <w:keepNext/>
      <w:keepLines/>
      <w:widowControl w:val="0"/>
      <w:spacing w:before="260" w:after="260" w:afterLines="0" w:line="415" w:lineRule="auto"/>
      <w:outlineLvl w:val="1"/>
    </w:pPr>
    <w:rPr>
      <w:rFonts w:ascii="Times New Roman" w:hAnsi="Times New Roman" w:eastAsia="黑体"/>
      <w:b/>
      <w:bCs/>
      <w:sz w:val="32"/>
      <w:szCs w:val="32"/>
    </w:rPr>
  </w:style>
  <w:style w:type="paragraph" w:styleId="6">
    <w:name w:val="heading 3"/>
    <w:basedOn w:val="1"/>
    <w:next w:val="1"/>
    <w:autoRedefine/>
    <w:uiPriority w:val="0"/>
    <w:pPr>
      <w:keepNext/>
      <w:keepLines/>
      <w:widowControl w:val="0"/>
      <w:spacing w:before="260" w:after="260" w:afterLines="0" w:line="415" w:lineRule="auto"/>
      <w:outlineLvl w:val="2"/>
    </w:pPr>
    <w:rPr>
      <w:b/>
      <w:bCs/>
      <w:sz w:val="32"/>
      <w:szCs w:val="32"/>
    </w:rPr>
  </w:style>
  <w:style w:type="paragraph" w:styleId="3">
    <w:name w:val="heading 4"/>
    <w:basedOn w:val="1"/>
    <w:next w:val="1"/>
    <w:autoRedefine/>
    <w:uiPriority w:val="0"/>
    <w:pPr>
      <w:ind w:left="618"/>
      <w:outlineLvl w:val="3"/>
    </w:pPr>
    <w:rPr>
      <w:rFonts w:ascii="宋体"/>
      <w:b/>
      <w:bCs/>
      <w:sz w:val="24"/>
      <w:szCs w:val="24"/>
    </w:rPr>
  </w:style>
  <w:style w:type="character" w:default="1" w:styleId="16">
    <w:name w:val="Default Paragraph Font"/>
    <w:autoRedefine/>
    <w:qFormat/>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next w:val="3"/>
    <w:autoRedefine/>
    <w:uiPriority w:val="0"/>
    <w:pPr>
      <w:spacing w:line="480" w:lineRule="exact"/>
      <w:ind w:firstLine="200" w:firstLineChars="200"/>
    </w:pPr>
  </w:style>
  <w:style w:type="paragraph" w:styleId="7">
    <w:name w:val="Body Text"/>
    <w:basedOn w:val="1"/>
    <w:next w:val="8"/>
    <w:autoRedefine/>
    <w:uiPriority w:val="0"/>
    <w:pPr>
      <w:spacing w:line="240" w:lineRule="atLeast"/>
    </w:pPr>
    <w:rPr>
      <w:sz w:val="28"/>
    </w:rPr>
  </w:style>
  <w:style w:type="paragraph" w:customStyle="1" w:styleId="8">
    <w:name w:val="xl27"/>
    <w:basedOn w:val="1"/>
    <w:autoRedefine/>
    <w:uiPriority w:val="0"/>
    <w:pPr>
      <w:widowControl/>
      <w:pBdr>
        <w:bottom w:val="single" w:color="auto" w:sz="12" w:space="0"/>
      </w:pBdr>
      <w:spacing w:before="100" w:after="100" w:afterLines="0"/>
      <w:jc w:val="center"/>
    </w:pPr>
    <w:rPr>
      <w:rFonts w:ascii="宋体"/>
      <w:kern w:val="0"/>
      <w:szCs w:val="20"/>
    </w:rPr>
  </w:style>
  <w:style w:type="paragraph" w:styleId="9">
    <w:name w:val="Plain Text"/>
    <w:basedOn w:val="1"/>
    <w:next w:val="10"/>
    <w:autoRedefine/>
    <w:uiPriority w:val="0"/>
  </w:style>
  <w:style w:type="paragraph" w:customStyle="1" w:styleId="10">
    <w:name w:val="表内文字"/>
    <w:basedOn w:val="1"/>
    <w:next w:val="11"/>
    <w:autoRedefine/>
    <w:uiPriority w:val="0"/>
    <w:pPr>
      <w:widowControl w:val="0"/>
      <w:suppressAutoHyphens/>
      <w:wordWrap w:val="0"/>
      <w:spacing w:line="360" w:lineRule="atLeast"/>
      <w:jc w:val="center"/>
    </w:pPr>
    <w:rPr>
      <w:spacing w:val="18"/>
      <w:kern w:val="0"/>
      <w:sz w:val="32"/>
      <w:szCs w:val="20"/>
    </w:rPr>
  </w:style>
  <w:style w:type="paragraph" w:customStyle="1" w:styleId="11">
    <w:name w:val="+正文"/>
    <w:basedOn w:val="1"/>
    <w:autoRedefine/>
    <w:uiPriority w:val="0"/>
    <w:pPr>
      <w:spacing w:line="360" w:lineRule="auto"/>
      <w:ind w:firstLine="200" w:firstLineChars="200"/>
      <w:outlineLvl w:val="0"/>
    </w:pPr>
    <w:rPr>
      <w:rFonts w:ascii="宋体"/>
      <w:sz w:val="28"/>
      <w:szCs w:val="28"/>
    </w:rPr>
  </w:style>
  <w:style w:type="paragraph" w:styleId="12">
    <w:name w:val="footer"/>
    <w:basedOn w:val="1"/>
    <w:autoRedefine/>
    <w:uiPriority w:val="0"/>
    <w:pPr>
      <w:tabs>
        <w:tab w:val="center" w:pos="4153"/>
        <w:tab w:val="right" w:pos="8306"/>
      </w:tabs>
      <w:snapToGrid w:val="0"/>
      <w:jc w:val="left"/>
    </w:pPr>
    <w:rPr>
      <w:sz w:val="18"/>
      <w:szCs w:val="18"/>
    </w:rPr>
  </w:style>
  <w:style w:type="paragraph" w:styleId="13">
    <w:name w:val="header"/>
    <w:basedOn w:val="1"/>
    <w:autoRedefine/>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7"/>
    <w:autoRedefine/>
    <w:uiPriority w:val="0"/>
    <w:pPr>
      <w:spacing w:after="120" w:afterLines="0"/>
      <w:ind w:firstLine="100" w:firstLineChars="100"/>
    </w:pPr>
    <w:rPr>
      <w:sz w:val="21"/>
      <w:szCs w:val="24"/>
    </w:rPr>
  </w:style>
  <w:style w:type="character" w:styleId="17">
    <w:name w:val="page number"/>
    <w:basedOn w:val="16"/>
    <w:autoRedefine/>
    <w:uiPriority w:val="0"/>
  </w:style>
  <w:style w:type="paragraph" w:customStyle="1" w:styleId="18">
    <w:name w:val="默认段落"/>
    <w:autoRedefine/>
    <w:uiPriority w:val="0"/>
    <w:pPr>
      <w:widowControl w:val="0"/>
      <w:jc w:val="both"/>
    </w:pPr>
    <w:rPr>
      <w:rFonts w:ascii="Calibri" w:hAnsi="Calibri" w:eastAsia="宋体" w:cs="Times New Roman"/>
      <w:kern w:val="2"/>
      <w:sz w:val="21"/>
      <w:szCs w:val="20"/>
      <w:lang w:val="en-US" w:eastAsia="zh-CN" w:bidi="ar-SA"/>
    </w:rPr>
  </w:style>
  <w:style w:type="paragraph" w:customStyle="1" w:styleId="19">
    <w:name w:val="表文"/>
    <w:autoRedefine/>
    <w:uiPriority w:val="0"/>
    <w:pPr>
      <w:tabs>
        <w:tab w:val="left" w:pos="1021"/>
        <w:tab w:val="left" w:pos="1680"/>
      </w:tabs>
      <w:adjustRightInd w:val="0"/>
      <w:snapToGrid w:val="0"/>
      <w:jc w:val="center"/>
    </w:pPr>
    <w:rPr>
      <w:rFonts w:ascii="Calibri" w:hAnsi="Calibri" w:eastAsia="宋体" w:cs="Times New Roman"/>
      <w:snapToGrid w:val="0"/>
      <w:sz w:val="21"/>
      <w:szCs w:val="21"/>
      <w:lang w:val="en-US" w:eastAsia="zh-CN" w:bidi="ar-SA"/>
    </w:rPr>
  </w:style>
  <w:style w:type="paragraph" w:customStyle="1" w:styleId="20">
    <w:name w:val="Default"/>
    <w:autoRedefine/>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1">
    <w:name w:val="样式 首行缩进:  2 字符1"/>
    <w:basedOn w:val="1"/>
    <w:autoRedefine/>
    <w:uiPriority w:val="0"/>
    <w:pPr>
      <w:ind w:firstLine="624"/>
    </w:pPr>
    <w:rPr>
      <w:rFonts w:cs="宋体"/>
      <w:szCs w:val="20"/>
    </w:rPr>
  </w:style>
  <w:style w:type="paragraph" w:customStyle="1" w:styleId="22">
    <w:name w:val="表格"/>
    <w:basedOn w:val="2"/>
    <w:next w:val="1"/>
    <w:autoRedefine/>
    <w:uiPriority w:val="0"/>
    <w:pPr>
      <w:spacing w:line="360" w:lineRule="exact"/>
      <w:ind w:firstLine="0" w:firstLineChars="0"/>
      <w:jc w:val="center"/>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6</Pages>
  <Words>2996</Words>
  <Characters>3195</Characters>
  <Lines>132</Lines>
  <Paragraphs>30</Paragraphs>
  <TotalTime>67</TotalTime>
  <ScaleCrop>false</ScaleCrop>
  <LinksUpToDate>false</LinksUpToDate>
  <CharactersWithSpaces>3240</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2022-10-15T10:50:00Z</dcterms:created>
  <dc:creator>w's'd</dc:creator>
  <cp:lastModifiedBy>WPS_1666662870</cp:lastModifiedBy>
  <cp:lastPrinted>2024-07-01T06:46:00Z</cp:lastPrinted>
  <dcterms:modified xsi:type="dcterms:W3CDTF">2024-07-02T02:04:23Z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21577E63625F41D0B46069021BFBBF87_13</vt:lpwstr>
  </property>
</Properties>
</file>