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keepNext w:val="0"/>
        <w:keepLines w:val="0"/>
        <w:pageBreakBefore w:val="0"/>
        <w:widowControl w:val="0"/>
        <w:kinsoku/>
        <w:wordWrap/>
        <w:overflowPunct/>
        <w:topLinePunct w:val="0"/>
        <w:autoSpaceDE/>
        <w:autoSpaceDN/>
        <w:bidi w:val="0"/>
        <w:snapToGrid w:val="0"/>
        <w:spacing w:line="560" w:lineRule="exact"/>
        <w:jc w:val="right"/>
        <w:textAlignment w:val="auto"/>
        <w:rPr>
          <w:rFonts w:ascii="仿宋" w:eastAsia="仿宋" w:cs="Times New Roman"/>
          <w:b/>
          <w:bCs/>
          <w:kern w:val="0"/>
          <w:sz w:val="44"/>
          <w:szCs w:val="44"/>
        </w:rPr>
      </w:pPr>
      <w:r>
        <w:rPr>
          <w:rFonts w:ascii="仿宋" w:eastAsia="仿宋" w:cs="Times New Roman" w:hint="eastAsia"/>
          <w:sz w:val="32"/>
          <w:szCs w:val="32"/>
        </w:rPr>
        <w:t xml:space="preserve">     </w:t>
      </w:r>
    </w:p>
    <w:p>
      <w:pPr>
        <w:keepNext w:val="0"/>
        <w:keepLines w:val="0"/>
        <w:pageBreakBefore w:val="0"/>
        <w:widowControl w:val="0"/>
        <w:kinsoku/>
        <w:wordWrap/>
        <w:overflowPunct/>
        <w:topLinePunct w:val="0"/>
        <w:autoSpaceDE/>
        <w:autoSpaceDN/>
        <w:bidi w:val="0"/>
        <w:adjustRightInd/>
        <w:snapToGrid/>
        <w:spacing w:beforeLines="50" w:before="156" w:afterLines="50" w:after="156" w:line="640" w:lineRule="exact"/>
        <w:jc w:val="right"/>
        <w:textAlignment w:val="auto"/>
        <w:rPr>
          <w:rFonts w:ascii="Times New Roman" w:eastAsia="仿宋_GB2312" w:cs="仿宋_GB2312" w:hAnsi="Times New Roman" w:hint="eastAsia"/>
          <w:color w:val="auto"/>
          <w:sz w:val="32"/>
          <w:szCs w:val="32"/>
        </w:rPr>
      </w:pPr>
      <w:r>
        <w:rPr>
          <w:rFonts w:ascii="Times New Roman" w:eastAsia="仿宋_GB2312" w:cs="仿宋_GB2312" w:hAnsi="Times New Roman" w:hint="eastAsia"/>
          <w:color w:val="auto"/>
          <w:sz w:val="32"/>
          <w:szCs w:val="32"/>
          <w:lang w:val="en-US" w:eastAsia="zh-CN"/>
        </w:rPr>
        <w:t xml:space="preserve"> </w:t>
      </w:r>
      <w:r>
        <w:rPr>
          <w:rFonts w:ascii="Times New Roman" w:eastAsia="仿宋_GB2312" w:cs="仿宋_GB2312" w:hAnsi="Times New Roman" w:hint="eastAsia"/>
          <w:color w:val="auto"/>
          <w:sz w:val="32"/>
          <w:szCs w:val="32"/>
        </w:rPr>
        <w:t>秦审批环准许〔202</w:t>
      </w:r>
      <w:r>
        <w:rPr>
          <w:rFonts w:ascii="Times New Roman" w:eastAsia="仿宋_GB2312" w:cs="仿宋_GB2312" w:hAnsi="Times New Roman"/>
          <w:color w:val="auto"/>
          <w:sz w:val="32"/>
          <w:szCs w:val="32"/>
        </w:rPr>
        <w:t>3</w:t>
      </w:r>
      <w:r>
        <w:rPr>
          <w:rFonts w:ascii="Times New Roman" w:eastAsia="仿宋_GB2312" w:cs="仿宋_GB2312" w:hAnsi="Times New Roman" w:hint="eastAsia"/>
          <w:color w:val="auto"/>
          <w:sz w:val="32"/>
          <w:szCs w:val="32"/>
        </w:rPr>
        <w:t>〕0</w:t>
      </w:r>
      <w:r>
        <w:rPr>
          <w:rFonts w:ascii="Times New Roman" w:eastAsia="仿宋_GB2312" w:cs="仿宋_GB2312" w:hAnsi="Times New Roman" w:hint="eastAsia"/>
          <w:color w:val="auto"/>
          <w:sz w:val="32"/>
          <w:szCs w:val="32"/>
          <w:lang w:val="en-US" w:eastAsia="zh-CN"/>
        </w:rPr>
        <w:t>2</w:t>
      </w:r>
      <w:r>
        <w:rPr>
          <w:rFonts w:ascii="Times New Roman" w:eastAsia="仿宋_GB2312" w:cs="仿宋_GB2312" w:hAnsi="Times New Roman" w:hint="eastAsia"/>
          <w:color w:val="auto"/>
          <w:sz w:val="32"/>
          <w:szCs w:val="32"/>
        </w:rPr>
        <w:t>-00</w:t>
      </w:r>
      <w:r>
        <w:rPr>
          <w:rFonts w:ascii="Times New Roman" w:eastAsia="仿宋_GB2312" w:cs="仿宋_GB2312" w:hAnsi="Times New Roman"/>
          <w:color w:val="auto"/>
          <w:sz w:val="32"/>
          <w:szCs w:val="32"/>
        </w:rPr>
        <w:t>29</w:t>
      </w:r>
      <w:r>
        <w:rPr>
          <w:rFonts w:ascii="Times New Roman" w:eastAsia="仿宋_GB2312" w:cs="仿宋_GB2312" w:hAnsi="Times New Roman" w:hint="eastAsia"/>
          <w:color w:val="auto"/>
          <w:sz w:val="32"/>
          <w:szCs w:val="32"/>
        </w:rPr>
        <w:t>号</w:t>
      </w:r>
    </w:p>
    <w:p>
      <w:pPr>
        <w:keepNext w:val="0"/>
        <w:keepLines w:val="0"/>
        <w:pageBreakBefore w:val="0"/>
        <w:widowControl w:val="0"/>
        <w:kinsoku/>
        <w:wordWrap/>
        <w:overflowPunct/>
        <w:topLinePunct w:val="0"/>
        <w:autoSpaceDE/>
        <w:autoSpaceDN/>
        <w:adjustRightInd/>
        <w:snapToGrid w:val="0"/>
        <w:spacing w:line="640" w:lineRule="exact"/>
        <w:jc w:val="center"/>
        <w:rPr>
          <w:rFonts w:ascii="方正小标宋简体" w:eastAsia="方正小标宋简体" w:cs="方正小标宋简体"/>
          <w:kern w:val="44"/>
          <w:sz w:val="44"/>
          <w:szCs w:val="44"/>
          <w:lang w:eastAsia="zh-CN"/>
          <w:highlight w:val="auto"/>
        </w:rPr>
      </w:pPr>
      <w:r>
        <w:rPr>
          <w:rFonts w:ascii="方正小标宋简体" w:eastAsia="方正小标宋简体" w:cs="方正小标宋简体" w:hint="eastAsia"/>
          <w:kern w:val="44"/>
          <w:sz w:val="44"/>
          <w:szCs w:val="44"/>
        </w:rPr>
        <w:t>关于</w:t>
      </w:r>
      <w:r>
        <w:rPr>
          <w:rFonts w:ascii="方正小标宋简体" w:eastAsia="方正小标宋简体" w:cs="方正小标宋简体" w:hint="eastAsia"/>
          <w:kern w:val="44"/>
          <w:sz w:val="44"/>
          <w:szCs w:val="44"/>
          <w:lang w:eastAsia="zh-CN"/>
          <w:highlight w:val="auto"/>
        </w:rPr>
        <w:t>河北予知新材料有限公司20万吨/年</w:t>
      </w:r>
    </w:p>
    <w:p>
      <w:pPr>
        <w:keepNext w:val="0"/>
        <w:keepLines w:val="0"/>
        <w:pageBreakBefore w:val="0"/>
        <w:widowControl w:val="0"/>
        <w:kinsoku/>
        <w:wordWrap/>
        <w:overflowPunct/>
        <w:topLinePunct w:val="0"/>
        <w:autoSpaceDE/>
        <w:autoSpaceDN/>
        <w:adjustRightInd/>
        <w:snapToGrid w:val="0"/>
        <w:spacing w:line="640" w:lineRule="exact"/>
        <w:jc w:val="center"/>
        <w:rPr>
          <w:rFonts w:ascii="方正小标宋简体" w:eastAsia="方正小标宋简体" w:cs="方正小标宋简体" w:hint="eastAsia"/>
          <w:kern w:val="44"/>
          <w:sz w:val="44"/>
          <w:szCs w:val="44"/>
        </w:rPr>
      </w:pPr>
      <w:r>
        <w:rPr>
          <w:rFonts w:ascii="方正小标宋简体" w:eastAsia="方正小标宋简体" w:cs="方正小标宋简体" w:hint="eastAsia"/>
          <w:kern w:val="44"/>
          <w:sz w:val="44"/>
          <w:szCs w:val="44"/>
          <w:lang w:eastAsia="zh-CN"/>
          <w:highlight w:val="auto"/>
        </w:rPr>
        <w:t>高活性氢氧化钙项目</w:t>
      </w:r>
      <w:r>
        <w:rPr>
          <w:rFonts w:ascii="方正小标宋简体" w:eastAsia="方正小标宋简体" w:cs="方正小标宋简体" w:hint="eastAsia"/>
          <w:kern w:val="44"/>
          <w:sz w:val="44"/>
          <w:szCs w:val="44"/>
        </w:rPr>
        <w:t>环境影响报告表的批复</w:t>
      </w:r>
    </w:p>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ascii="仿宋" w:eastAsia="仿宋" w:cs="Times New Roman"/>
          <w:sz w:val="32"/>
          <w:szCs w:val="32"/>
          <w:lang w:eastAsia="zh-CN"/>
        </w:rPr>
      </w:pPr>
    </w:p>
    <w:p>
      <w:pPr>
        <w:keepNext w:val="0"/>
        <w:keepLines w:val="0"/>
        <w:pageBreakBefore w:val="0"/>
        <w:widowControl w:val="0"/>
        <w:kinsoku/>
        <w:wordWrap/>
        <w:overflowPunct/>
        <w:topLinePunct w:val="0"/>
        <w:autoSpaceDE/>
        <w:autoSpaceDN/>
        <w:adjustRightInd w:val="0"/>
        <w:snapToGrid w:val="0"/>
        <w:spacing w:line="520" w:lineRule="exact"/>
        <w:ind w:left="0"/>
        <w:rPr>
          <w:rFonts w:ascii="仿宋_GB2312" w:eastAsia="仿宋_GB2312" w:cs="仿宋_GB2312" w:hint="eastAsia"/>
          <w:spacing w:val="-6"/>
          <w:sz w:val="32"/>
          <w:szCs w:val="32"/>
        </w:rPr>
      </w:pPr>
      <w:r>
        <w:rPr>
          <w:rFonts w:ascii="仿宋_GB2312" w:eastAsia="仿宋_GB2312" w:cs="仿宋_GB2312" w:hint="eastAsia"/>
          <w:spacing w:val="-6"/>
          <w:sz w:val="32"/>
          <w:szCs w:val="32"/>
          <w:lang w:eastAsia="zh-CN"/>
          <w:highlight w:val="auto"/>
        </w:rPr>
        <w:t>河北予知新材料有限公司</w:t>
      </w:r>
      <w:r>
        <w:rPr>
          <w:rFonts w:ascii="仿宋_GB2312" w:eastAsia="仿宋_GB2312" w:cs="仿宋_GB2312" w:hint="eastAsia"/>
          <w:spacing w:val="-6"/>
          <w:sz w:val="32"/>
          <w:szCs w:val="32"/>
        </w:rPr>
        <w:t>：</w:t>
      </w:r>
    </w:p>
    <w:p>
      <w:pPr>
        <w:keepNext w:val="0"/>
        <w:keepLines w:val="0"/>
        <w:pageBreakBefore w:val="0"/>
        <w:widowControl w:val="0"/>
        <w:kinsoku/>
        <w:wordWrap/>
        <w:overflowPunct/>
        <w:topLinePunct w:val="0"/>
        <w:autoSpaceDE/>
        <w:autoSpaceDN/>
        <w:adjustRightInd w:val="0"/>
        <w:snapToGrid w:val="0"/>
        <w:spacing w:line="520" w:lineRule="exact"/>
        <w:ind w:firstLineChars="200" w:firstLine="616"/>
        <w:rPr>
          <w:rFonts w:ascii="仿宋_GB2312" w:eastAsia="仿宋_GB2312" w:cs="仿宋_GB2312" w:hint="eastAsia"/>
          <w:bCs/>
          <w:spacing w:val="-6"/>
          <w:sz w:val="32"/>
          <w:szCs w:val="32"/>
        </w:rPr>
      </w:pPr>
      <w:r>
        <w:rPr>
          <w:rFonts w:ascii="仿宋_GB2312" w:eastAsia="仿宋_GB2312" w:cs="仿宋_GB2312" w:hint="eastAsia"/>
          <w:spacing w:val="-6"/>
          <w:sz w:val="32"/>
          <w:szCs w:val="32"/>
        </w:rPr>
        <w:t>所报《</w:t>
      </w:r>
      <w:r>
        <w:rPr>
          <w:rFonts w:ascii="仿宋_GB2312" w:eastAsia="仿宋_GB2312" w:cs="仿宋_GB2312" w:hint="eastAsia"/>
          <w:spacing w:val="-6"/>
          <w:sz w:val="32"/>
          <w:szCs w:val="32"/>
          <w:lang w:eastAsia="zh-CN"/>
          <w:highlight w:val="auto"/>
        </w:rPr>
        <w:t>河北予知新材料有限公司20万吨/年高活性氢氧化钙项目</w:t>
      </w:r>
      <w:r>
        <w:rPr>
          <w:rFonts w:ascii="仿宋_GB2312" w:eastAsia="仿宋_GB2312" w:cs="仿宋_GB2312" w:hint="eastAsia"/>
          <w:spacing w:val="-6"/>
          <w:sz w:val="32"/>
          <w:szCs w:val="32"/>
        </w:rPr>
        <w:t>环境影响报告表》（以下简称《报告表》）审批申请及相关材料收悉。结合</w:t>
      </w:r>
      <w:r>
        <w:rPr>
          <w:rFonts w:ascii="仿宋_GB2312" w:eastAsia="仿宋_GB2312" w:cs="仿宋_GB2312" w:hint="eastAsia"/>
          <w:spacing w:val="-6"/>
          <w:sz w:val="32"/>
          <w:szCs w:val="32"/>
          <w:lang w:val="en-US" w:eastAsia="zh-CN"/>
        </w:rPr>
        <w:t>环境影响</w:t>
      </w:r>
      <w:r>
        <w:rPr>
          <w:rFonts w:ascii="仿宋_GB2312" w:eastAsia="仿宋_GB2312" w:cs="仿宋_GB2312" w:hint="eastAsia"/>
          <w:spacing w:val="-6"/>
          <w:sz w:val="32"/>
          <w:szCs w:val="32"/>
        </w:rPr>
        <w:t>报告</w:t>
      </w:r>
      <w:r>
        <w:rPr>
          <w:rFonts w:ascii="仿宋_GB2312" w:eastAsia="仿宋_GB2312" w:cs="仿宋_GB2312" w:hint="eastAsia"/>
          <w:spacing w:val="-6"/>
          <w:sz w:val="32"/>
          <w:szCs w:val="32"/>
          <w:lang w:val="en-US" w:eastAsia="zh-CN"/>
        </w:rPr>
        <w:t>表</w:t>
      </w:r>
      <w:r>
        <w:rPr>
          <w:rFonts w:ascii="仿宋_GB2312" w:eastAsia="仿宋_GB2312" w:cs="仿宋_GB2312" w:hint="eastAsia"/>
          <w:spacing w:val="-6"/>
          <w:sz w:val="32"/>
          <w:szCs w:val="32"/>
        </w:rPr>
        <w:t>结论、专家意见</w:t>
      </w:r>
      <w:r>
        <w:rPr>
          <w:rFonts w:ascii="仿宋_GB2312" w:eastAsia="仿宋_GB2312" w:cs="仿宋_GB2312" w:hint="eastAsia"/>
          <w:spacing w:val="-6"/>
          <w:sz w:val="32"/>
          <w:szCs w:val="32"/>
          <w:lang w:val="en-US" w:eastAsia="zh-CN"/>
        </w:rPr>
        <w:t>、项目</w:t>
      </w:r>
      <w:r>
        <w:rPr>
          <w:rFonts w:ascii="仿宋_GB2312" w:eastAsia="仿宋_GB2312" w:cs="仿宋_GB2312" w:hint="eastAsia"/>
          <w:spacing w:val="-6"/>
          <w:sz w:val="32"/>
          <w:szCs w:val="32"/>
        </w:rPr>
        <w:t>环境影响特点</w:t>
      </w:r>
      <w:r>
        <w:rPr>
          <w:rFonts w:ascii="仿宋_GB2312" w:eastAsia="仿宋_GB2312" w:cs="仿宋_GB2312"/>
          <w:spacing w:val="-6"/>
          <w:sz w:val="32"/>
          <w:szCs w:val="32"/>
        </w:rPr>
        <w:t>、</w:t>
      </w:r>
      <w:r>
        <w:rPr>
          <w:rFonts w:ascii="仿宋_GB2312" w:eastAsia="仿宋_GB2312" w:cs="仿宋_GB2312" w:hint="eastAsia"/>
          <w:spacing w:val="-6"/>
          <w:sz w:val="32"/>
          <w:szCs w:val="32"/>
          <w:lang w:val="en-US" w:eastAsia="zh-CN"/>
        </w:rPr>
        <w:t>公示反馈</w:t>
      </w:r>
      <w:r>
        <w:rPr>
          <w:rFonts w:ascii="仿宋_GB2312" w:eastAsia="仿宋_GB2312" w:cs="仿宋_GB2312" w:hint="eastAsia"/>
          <w:spacing w:val="-6"/>
          <w:sz w:val="32"/>
          <w:szCs w:val="32"/>
        </w:rPr>
        <w:t>及河北绿业环保科技有限公司</w:t>
      </w:r>
      <w:r>
        <w:rPr>
          <w:rFonts w:ascii="仿宋_GB2312" w:eastAsia="仿宋_GB2312" w:cs="仿宋_GB2312" w:hint="eastAsia"/>
          <w:bCs/>
          <w:spacing w:val="-6"/>
          <w:sz w:val="32"/>
          <w:szCs w:val="32"/>
          <w:lang w:eastAsia="zh-CN"/>
          <w:highlight w:val="auto"/>
        </w:rPr>
        <w:t>20万吨/年高活性氢氧化钙项目环境影响报告表</w:t>
      </w:r>
      <w:r>
        <w:rPr>
          <w:rFonts w:ascii="仿宋_GB2312" w:eastAsia="仿宋_GB2312" w:cs="仿宋_GB2312" w:hint="eastAsia"/>
          <w:bCs/>
          <w:spacing w:val="-6"/>
          <w:sz w:val="32"/>
          <w:szCs w:val="32"/>
          <w:highlight w:val="auto"/>
        </w:rPr>
        <w:t>技术评估意见</w:t>
      </w:r>
      <w:r>
        <w:rPr>
          <w:rFonts w:ascii="仿宋_GB2312" w:eastAsia="仿宋_GB2312" w:cs="仿宋_GB2312" w:hint="eastAsia"/>
          <w:spacing w:val="-6"/>
          <w:sz w:val="32"/>
          <w:szCs w:val="32"/>
          <w:lang w:val="en-US" w:eastAsia="zh-CN"/>
        </w:rPr>
        <w:t>等方面情况</w:t>
      </w:r>
      <w:r>
        <w:rPr>
          <w:rFonts w:ascii="仿宋_GB2312" w:eastAsia="仿宋_GB2312" w:cs="仿宋_GB2312" w:hint="eastAsia"/>
          <w:spacing w:val="-6"/>
          <w:sz w:val="32"/>
          <w:szCs w:val="32"/>
        </w:rPr>
        <w:t xml:space="preserve">，经研究，现批复如下： </w:t>
      </w:r>
    </w:p>
    <w:p>
      <w:pPr>
        <w:keepNext w:val="0"/>
        <w:keepLines w:val="0"/>
        <w:pageBreakBefore w:val="0"/>
        <w:widowControl w:val="0"/>
        <w:kinsoku/>
        <w:wordWrap/>
        <w:overflowPunct/>
        <w:topLinePunct w:val="0"/>
        <w:autoSpaceDE/>
        <w:autoSpaceDN/>
        <w:adjustRightInd w:val="0"/>
        <w:snapToGrid w:val="0"/>
        <w:spacing w:line="520" w:lineRule="exact"/>
        <w:ind w:left="0" w:firstLineChars="200" w:firstLine="616"/>
        <w:rPr>
          <w:rFonts w:ascii="仿宋_GB2312" w:eastAsia="仿宋_GB2312" w:cs="仿宋_GB2312" w:hint="eastAsia"/>
          <w:spacing w:val="-6"/>
          <w:sz w:val="32"/>
          <w:szCs w:val="32"/>
        </w:rPr>
      </w:pPr>
      <w:r>
        <w:rPr>
          <w:rFonts w:ascii="仿宋_GB2312" w:eastAsia="仿宋_GB2312" w:cs="仿宋_GB2312" w:hint="eastAsia"/>
          <w:spacing w:val="-6"/>
          <w:sz w:val="32"/>
          <w:szCs w:val="32"/>
        </w:rPr>
        <w:t>一、项目建设内容和总体要求</w:t>
      </w:r>
    </w:p>
    <w:p>
      <w:pPr>
        <w:keepNext w:val="0"/>
        <w:keepLines w:val="0"/>
        <w:pageBreakBefore w:val="0"/>
        <w:widowControl w:val="0"/>
        <w:kinsoku/>
        <w:wordWrap/>
        <w:overflowPunct/>
        <w:topLinePunct w:val="0"/>
        <w:autoSpaceDE/>
        <w:autoSpaceDN/>
        <w:adjustRightInd w:val="0"/>
        <w:snapToGrid w:val="0"/>
        <w:spacing w:line="520" w:lineRule="exact"/>
        <w:ind w:left="0" w:firstLineChars="200" w:firstLine="616"/>
        <w:rPr>
          <w:rFonts w:ascii="仿宋_GB2312" w:eastAsia="仿宋_GB2312" w:cs="仿宋_GB2312" w:hint="eastAsia"/>
          <w:spacing w:val="-6"/>
          <w:sz w:val="32"/>
          <w:szCs w:val="32"/>
          <w:highlight w:val="auto"/>
        </w:rPr>
      </w:pPr>
      <w:r>
        <w:rPr>
          <w:rFonts w:ascii="仿宋_GB2312" w:eastAsia="仿宋_GB2312" w:cs="仿宋_GB2312" w:hint="eastAsia"/>
          <w:spacing w:val="-6"/>
          <w:sz w:val="32"/>
          <w:szCs w:val="32"/>
        </w:rPr>
        <w:t>该项目位于</w:t>
      </w:r>
      <w:r>
        <w:rPr>
          <w:rFonts w:ascii="仿宋_GB2312" w:eastAsia="仿宋_GB2312" w:cs="仿宋_GB2312" w:hint="eastAsia"/>
          <w:spacing w:val="-6"/>
          <w:sz w:val="32"/>
          <w:szCs w:val="32"/>
          <w:highlight w:val="auto"/>
        </w:rPr>
        <w:t>河北卢龙经济开发区石门循环经济产业园(秦皇岛武山宏运水泥有限公司院内)，占地面积13333.3m</w:t>
      </w:r>
      <w:r>
        <w:rPr>
          <w:rFonts w:ascii="仿宋_GB2312" w:eastAsia="仿宋_GB2312" w:cs="仿宋_GB2312" w:hint="eastAsia"/>
          <w:spacing w:val="-6"/>
          <w:sz w:val="32"/>
          <w:szCs w:val="32"/>
          <w:vertAlign w:val="superscript"/>
          <w:highlight w:val="auto"/>
        </w:rPr>
        <w:t>2</w:t>
      </w:r>
      <w:r>
        <w:rPr>
          <w:rFonts w:ascii="仿宋_GB2312" w:eastAsia="仿宋_GB2312" w:cs="仿宋_GB2312" w:hint="eastAsia"/>
          <w:spacing w:val="-6"/>
          <w:sz w:val="32"/>
          <w:szCs w:val="32"/>
          <w:highlight w:val="auto"/>
        </w:rPr>
        <w:t>（合20亩），项目位置中心坐标为：东经118°48′51.728″，北纬39°45′27.682″，项目北侧、西侧为园区道路，南侧、东侧为秦皇岛武山宏运水泥有限公司，周围</w:t>
      </w:r>
      <w:r>
        <w:rPr>
          <w:rFonts w:ascii="仿宋_GB2312" w:eastAsia="仿宋_GB2312" w:cs="仿宋_GB2312" w:hint="eastAsia"/>
          <w:spacing w:val="-6"/>
          <w:sz w:val="32"/>
          <w:szCs w:val="32"/>
        </w:rPr>
        <w:t>无水源保护地的核心区、风景名胜区、森林公园等自然和人文景观保护区等生态红线，符合《河北省生态红线区域保护规划》，</w:t>
      </w:r>
      <w:r>
        <w:rPr>
          <w:rFonts w:ascii="仿宋_GB2312" w:eastAsia="仿宋_GB2312" w:cs="仿宋_GB2312" w:hint="eastAsia"/>
          <w:spacing w:val="-6"/>
          <w:sz w:val="32"/>
          <w:szCs w:val="32"/>
          <w:highlight w:val="auto"/>
        </w:rPr>
        <w:t>满足秦皇岛市“三线一单”管控要求</w:t>
      </w:r>
      <w:r>
        <w:rPr>
          <w:rFonts w:ascii="仿宋_GB2312" w:eastAsia="仿宋_GB2312" w:cs="仿宋_GB2312" w:hint="eastAsia"/>
          <w:spacing w:val="-6"/>
          <w:sz w:val="32"/>
          <w:szCs w:val="32"/>
        </w:rPr>
        <w:t>的要求。</w:t>
      </w:r>
      <w:r>
        <w:rPr>
          <w:rFonts w:ascii="仿宋_GB2312" w:eastAsia="仿宋_GB2312" w:cs="仿宋_GB2312" w:hint="eastAsia"/>
          <w:spacing w:val="-6"/>
          <w:sz w:val="32"/>
          <w:szCs w:val="32"/>
          <w:highlight w:val="auto"/>
        </w:rPr>
        <w:t>该地块已获得卢龙县自然资源和规划局颁发的不动产权证（冀（2017）卢龙县不动产权第0007397号），土地用途为工业用地</w:t>
      </w:r>
      <w:r>
        <w:rPr>
          <w:rFonts w:ascii="仿宋_GB2312" w:eastAsia="仿宋_GB2312" w:cs="仿宋_GB2312" w:hint="eastAsia"/>
          <w:spacing w:val="-6"/>
          <w:sz w:val="32"/>
          <w:szCs w:val="32"/>
          <w:lang w:val="en-US"/>
          <w:highlight w:val="auto"/>
        </w:rPr>
        <w:t>，</w:t>
      </w:r>
      <w:r>
        <w:rPr>
          <w:rFonts w:ascii="仿宋_GB2312" w:eastAsia="仿宋_GB2312" w:cs="仿宋_GB2312" w:hint="eastAsia"/>
          <w:spacing w:val="-6"/>
          <w:sz w:val="32"/>
          <w:szCs w:val="32"/>
          <w:lang w:eastAsia="zh-CN"/>
          <w:highlight w:val="auto"/>
        </w:rPr>
        <w:t>河北予知新材料有限公司</w:t>
      </w:r>
      <w:r>
        <w:rPr>
          <w:rFonts w:ascii="仿宋_GB2312" w:eastAsia="仿宋_GB2312" w:cs="仿宋_GB2312" w:hint="eastAsia"/>
          <w:spacing w:val="-6"/>
          <w:sz w:val="32"/>
          <w:szCs w:val="32"/>
          <w:highlight w:val="auto"/>
        </w:rPr>
        <w:t>已经与秦皇岛武山宏运水泥有限公司签订了租赁协议。</w:t>
      </w:r>
      <w:r>
        <w:rPr>
          <w:rFonts w:ascii="仿宋_GB2312" w:eastAsia="仿宋_GB2312" w:cs="仿宋_GB2312" w:hint="eastAsia"/>
          <w:spacing w:val="-6"/>
          <w:sz w:val="32"/>
          <w:szCs w:val="32"/>
          <w:lang w:val="en-US"/>
          <w:highlight w:val="auto"/>
        </w:rPr>
        <w:t>河北卢龙经济开发区石门循环经济产业园管理委员会出具了关于本项目进驻园区证明，同意该项目进驻园区。</w:t>
      </w:r>
      <w:r>
        <w:rPr>
          <w:rFonts w:ascii="仿宋_GB2312" w:eastAsia="仿宋_GB2312" w:cs="仿宋_GB2312"/>
          <w:spacing w:val="-6"/>
          <w:sz w:val="32"/>
          <w:szCs w:val="32"/>
          <w:lang w:val="en-US"/>
          <w:highlight w:val="auto"/>
        </w:rPr>
        <w:t>该</w:t>
      </w:r>
      <w:r>
        <w:rPr>
          <w:rFonts w:ascii="仿宋_GB2312" w:eastAsia="仿宋_GB2312" w:cs="仿宋_GB2312" w:hint="eastAsia"/>
          <w:spacing w:val="-6"/>
          <w:sz w:val="32"/>
          <w:szCs w:val="32"/>
          <w:highlight w:val="auto"/>
        </w:rPr>
        <w:t>项目主要原材料为生石灰。分</w:t>
      </w:r>
      <w:r>
        <w:rPr>
          <w:rFonts w:ascii="仿宋_GB2312" w:eastAsia="仿宋_GB2312" w:cs="仿宋_GB2312"/>
          <w:spacing w:val="-6"/>
          <w:sz w:val="32"/>
          <w:szCs w:val="32"/>
          <w:highlight w:val="auto"/>
        </w:rPr>
        <w:t>两</w:t>
      </w:r>
      <w:r>
        <w:rPr>
          <w:rFonts w:ascii="仿宋_GB2312" w:eastAsia="仿宋_GB2312" w:cs="仿宋_GB2312" w:hint="eastAsia"/>
          <w:spacing w:val="-6"/>
          <w:sz w:val="32"/>
          <w:szCs w:val="32"/>
          <w:highlight w:val="auto"/>
        </w:rPr>
        <w:t>期建设，一期装置规模10万吨，投资5300万元。主要建设厂房、成品库等，建筑面积3300平方米。购置研磨机、预混器、输送机等设备。二期装置规模及建设内容与一期相同。一期工程、二期工程高活性氢氧化钙产能均为10万吨/</w:t>
      </w:r>
      <w:r>
        <w:rPr>
          <w:rFonts w:ascii="仿宋_GB2312" w:eastAsia="仿宋_GB2312" w:cs="仿宋_GB2312"/>
          <w:spacing w:val="-6"/>
          <w:sz w:val="32"/>
          <w:szCs w:val="32"/>
          <w:highlight w:val="auto"/>
        </w:rPr>
        <w:t>年</w:t>
      </w:r>
      <w:r>
        <w:rPr>
          <w:rFonts w:ascii="仿宋_GB2312" w:eastAsia="仿宋_GB2312" w:cs="仿宋_GB2312" w:hint="eastAsia"/>
          <w:spacing w:val="-6"/>
          <w:sz w:val="32"/>
          <w:szCs w:val="32"/>
          <w:highlight w:val="auto"/>
        </w:rPr>
        <w:t>，全部投产后高活性氢氧化钙产能为20万吨/</w:t>
      </w:r>
      <w:r>
        <w:rPr>
          <w:rFonts w:ascii="仿宋_GB2312" w:eastAsia="仿宋_GB2312" w:cs="仿宋_GB2312"/>
          <w:spacing w:val="-6"/>
          <w:sz w:val="32"/>
          <w:szCs w:val="32"/>
          <w:highlight w:val="auto"/>
        </w:rPr>
        <w:t>年</w:t>
      </w:r>
      <w:r>
        <w:rPr>
          <w:rFonts w:ascii="仿宋_GB2312" w:eastAsia="仿宋_GB2312" w:cs="仿宋_GB2312" w:hint="eastAsia"/>
          <w:spacing w:val="-6"/>
          <w:sz w:val="32"/>
          <w:szCs w:val="32"/>
          <w:highlight w:val="auto"/>
        </w:rPr>
        <w:t>。</w:t>
      </w:r>
    </w:p>
    <w:p>
      <w:pPr>
        <w:keepNext w:val="0"/>
        <w:keepLines w:val="0"/>
        <w:pageBreakBefore w:val="0"/>
        <w:widowControl w:val="0"/>
        <w:kinsoku/>
        <w:wordWrap/>
        <w:overflowPunct/>
        <w:topLinePunct w:val="0"/>
        <w:autoSpaceDE/>
        <w:autoSpaceDN/>
        <w:adjustRightInd w:val="0"/>
        <w:snapToGrid w:val="0"/>
        <w:spacing w:line="520" w:lineRule="exact"/>
        <w:ind w:left="0" w:firstLineChars="200" w:firstLine="616"/>
        <w:rPr>
          <w:rFonts w:ascii="仿宋_GB2312" w:eastAsia="仿宋_GB2312" w:cs="仿宋_GB2312" w:hint="eastAsia"/>
          <w:spacing w:val="-6"/>
          <w:sz w:val="32"/>
          <w:szCs w:val="32"/>
        </w:rPr>
      </w:pPr>
      <w:r>
        <w:rPr>
          <w:rFonts w:ascii="仿宋_GB2312" w:eastAsia="仿宋_GB2312" w:cs="仿宋_GB2312" w:hint="eastAsia"/>
          <w:spacing w:val="-6"/>
          <w:sz w:val="32"/>
          <w:szCs w:val="32"/>
        </w:rPr>
        <w:t>项目总投资</w:t>
      </w:r>
      <w:r>
        <w:rPr>
          <w:rFonts w:ascii="仿宋_GB2312" w:eastAsia="仿宋_GB2312" w:cs="仿宋_GB2312" w:hint="eastAsia"/>
          <w:spacing w:val="-6"/>
          <w:sz w:val="32"/>
          <w:szCs w:val="32"/>
          <w:lang w:val="en-US"/>
        </w:rPr>
        <w:t>：</w:t>
      </w:r>
      <w:r>
        <w:rPr>
          <w:rFonts w:ascii="仿宋_GB2312" w:eastAsia="仿宋_GB2312" w:cs="仿宋_GB2312" w:hint="eastAsia"/>
          <w:spacing w:val="-6"/>
          <w:sz w:val="32"/>
          <w:szCs w:val="32"/>
          <w:highlight w:val="auto"/>
        </w:rPr>
        <w:t>本项目</w:t>
      </w:r>
      <w:r>
        <w:rPr>
          <w:rFonts w:ascii="仿宋_GB2312" w:eastAsia="仿宋_GB2312" w:cs="仿宋_GB2312" w:hint="eastAsia"/>
          <w:spacing w:val="-6"/>
          <w:sz w:val="32"/>
          <w:szCs w:val="32"/>
          <w:lang w:val="en-US"/>
          <w:highlight w:val="auto"/>
        </w:rPr>
        <w:t>一期工程、二期工程</w:t>
      </w:r>
      <w:r>
        <w:rPr>
          <w:rFonts w:ascii="仿宋_GB2312" w:eastAsia="仿宋_GB2312" w:cs="仿宋_GB2312" w:hint="eastAsia"/>
          <w:spacing w:val="-6"/>
          <w:sz w:val="32"/>
          <w:szCs w:val="32"/>
          <w:highlight w:val="auto"/>
        </w:rPr>
        <w:t>投资</w:t>
      </w:r>
      <w:r>
        <w:rPr>
          <w:rFonts w:ascii="仿宋_GB2312" w:eastAsia="仿宋_GB2312" w:cs="仿宋_GB2312" w:hint="eastAsia"/>
          <w:spacing w:val="-6"/>
          <w:sz w:val="32"/>
          <w:szCs w:val="32"/>
          <w:lang w:val="en-US"/>
          <w:highlight w:val="auto"/>
        </w:rPr>
        <w:t>均为5300</w:t>
      </w:r>
      <w:r>
        <w:rPr>
          <w:rFonts w:ascii="仿宋_GB2312" w:eastAsia="仿宋_GB2312" w:cs="仿宋_GB2312" w:hint="eastAsia"/>
          <w:spacing w:val="-6"/>
          <w:sz w:val="32"/>
          <w:szCs w:val="32"/>
          <w:highlight w:val="auto"/>
        </w:rPr>
        <w:t>万元，</w:t>
      </w:r>
      <w:r>
        <w:rPr>
          <w:rFonts w:ascii="仿宋_GB2312" w:eastAsia="仿宋_GB2312" w:cs="仿宋_GB2312" w:hint="eastAsia"/>
          <w:spacing w:val="-6"/>
          <w:sz w:val="32"/>
          <w:szCs w:val="32"/>
          <w:lang w:val="en-US"/>
          <w:highlight w:val="auto"/>
        </w:rPr>
        <w:t>总投资10600万元，</w:t>
      </w:r>
      <w:r>
        <w:rPr>
          <w:rFonts w:ascii="仿宋_GB2312" w:eastAsia="仿宋_GB2312" w:cs="仿宋_GB2312" w:hint="eastAsia"/>
          <w:spacing w:val="-6"/>
          <w:sz w:val="32"/>
          <w:szCs w:val="32"/>
          <w:highlight w:val="auto"/>
        </w:rPr>
        <w:t>环保投资</w:t>
      </w:r>
      <w:r>
        <w:rPr>
          <w:rFonts w:ascii="仿宋_GB2312" w:eastAsia="仿宋_GB2312" w:cs="仿宋_GB2312" w:hint="eastAsia"/>
          <w:spacing w:val="-6"/>
          <w:sz w:val="32"/>
          <w:szCs w:val="32"/>
          <w:lang w:val="en-US"/>
          <w:highlight w:val="auto"/>
        </w:rPr>
        <w:t>1</w:t>
      </w:r>
      <w:r>
        <w:rPr>
          <w:rFonts w:ascii="仿宋_GB2312" w:eastAsia="仿宋_GB2312" w:cs="仿宋_GB2312" w:hint="eastAsia"/>
          <w:spacing w:val="-6"/>
          <w:sz w:val="32"/>
          <w:szCs w:val="32"/>
          <w:highlight w:val="auto"/>
        </w:rPr>
        <w:t>00万元，占总投资的</w:t>
      </w:r>
      <w:r>
        <w:rPr>
          <w:rFonts w:ascii="仿宋_GB2312" w:eastAsia="仿宋_GB2312" w:cs="仿宋_GB2312" w:hint="eastAsia"/>
          <w:spacing w:val="-6"/>
          <w:sz w:val="32"/>
          <w:szCs w:val="32"/>
          <w:lang w:val="en-US"/>
          <w:highlight w:val="auto"/>
        </w:rPr>
        <w:t>0.9</w:t>
      </w:r>
      <w:r>
        <w:rPr>
          <w:rFonts w:ascii="仿宋_GB2312" w:eastAsia="仿宋_GB2312" w:cs="仿宋_GB2312" w:hint="eastAsia"/>
          <w:spacing w:val="-6"/>
          <w:sz w:val="32"/>
          <w:szCs w:val="32"/>
          <w:highlight w:val="auto"/>
        </w:rPr>
        <w:t>%。</w:t>
      </w:r>
    </w:p>
    <w:p>
      <w:pPr>
        <w:keepNext w:val="0"/>
        <w:keepLines w:val="0"/>
        <w:pageBreakBefore w:val="0"/>
        <w:widowControl w:val="0"/>
        <w:kinsoku/>
        <w:wordWrap/>
        <w:overflowPunct/>
        <w:topLinePunct w:val="0"/>
        <w:autoSpaceDE/>
        <w:autoSpaceDN/>
        <w:adjustRightInd w:val="0"/>
        <w:snapToGrid w:val="0"/>
        <w:spacing w:line="520" w:lineRule="exact"/>
        <w:ind w:left="0" w:firstLineChars="200" w:firstLine="616"/>
        <w:rPr>
          <w:rFonts w:ascii="仿宋_GB2312" w:eastAsia="仿宋_GB2312" w:cs="仿宋_GB2312" w:hint="eastAsia"/>
          <w:spacing w:val="-6"/>
          <w:sz w:val="32"/>
          <w:szCs w:val="32"/>
        </w:rPr>
      </w:pPr>
      <w:r>
        <w:rPr>
          <w:rFonts w:ascii="仿宋_GB2312" w:eastAsia="仿宋_GB2312" w:cs="仿宋_GB2312" w:hint="eastAsia"/>
          <w:spacing w:val="-6"/>
          <w:sz w:val="32"/>
          <w:szCs w:val="32"/>
        </w:rPr>
        <w:t>本项目不属于《产业结构调整指导目录》（2019年本）限制、淘汰类；</w:t>
      </w:r>
      <w:r>
        <w:rPr>
          <w:rFonts w:ascii="仿宋_GB2312" w:eastAsia="仿宋_GB2312" w:cs="仿宋_GB2312" w:hint="eastAsia"/>
          <w:spacing w:val="-6"/>
          <w:sz w:val="32"/>
          <w:szCs w:val="32"/>
          <w:highlight w:val="auto"/>
        </w:rPr>
        <w:t>河北予知新材料有限公司</w:t>
      </w:r>
      <w:r>
        <w:rPr>
          <w:rFonts w:ascii="仿宋_GB2312" w:eastAsia="仿宋_GB2312" w:cs="仿宋_GB2312" w:hint="eastAsia"/>
          <w:spacing w:val="-6"/>
          <w:sz w:val="32"/>
          <w:szCs w:val="32"/>
        </w:rPr>
        <w:t>与秦皇岛市博阳矿业有限公司签订了承诺书及生石灰深加工协议，利用博阳矿业生石灰产品生产高活性氢氧化钙，卢龙县发展和改革局出具了关于本项目产能情况的说明，项目不会额外增加石灰产能，属于等量置换项目，不属于《河北省新增限制和淘汰类产业目录（2015年版）》中的禁止新建和扩建石灰和石膏制造类(等量置换或脱硫石膏除外)，不属于河北省新增限制类和淘汰类项目；不属于《秦皇岛市限制和禁止投资的产业目录（2020年修订版）》中限制和禁止项目；不属于《市场准入负面清单（2022年版）》（发改体改规[2022]397号）；</w:t>
      </w:r>
      <w:r>
        <w:rPr>
          <w:rFonts w:ascii="仿宋_GB2312" w:eastAsia="仿宋_GB2312" w:cs="仿宋_GB2312" w:hint="eastAsia"/>
          <w:spacing w:val="-6"/>
          <w:sz w:val="32"/>
          <w:szCs w:val="32"/>
          <w:highlight w:val="auto"/>
        </w:rPr>
        <w:t>不在《秦皇岛市限制和禁止投资的产业目录》（2020年修订版）、《市场准入负面清单（2022年版）》、《环境保护综合名录（2021年版）》的限制和禁止投资类项目</w:t>
      </w:r>
      <w:r>
        <w:rPr>
          <w:rFonts w:ascii="仿宋_GB2312" w:eastAsia="仿宋_GB2312" w:cs="仿宋_GB2312"/>
          <w:spacing w:val="-6"/>
          <w:sz w:val="32"/>
          <w:szCs w:val="32"/>
          <w:highlight w:val="auto"/>
        </w:rPr>
        <w:t>内</w:t>
      </w:r>
      <w:r>
        <w:rPr>
          <w:rFonts w:ascii="仿宋_GB2312" w:eastAsia="仿宋_GB2312" w:cs="仿宋_GB2312" w:hint="eastAsia"/>
          <w:spacing w:val="-6"/>
          <w:sz w:val="32"/>
          <w:szCs w:val="32"/>
          <w:highlight w:val="auto"/>
        </w:rPr>
        <w:t>；该地块水、电供应有保障，区域交通便利，不属于《限制用地项目目录（2012年本）》和《禁止用地项目目录（2012年本）》的限制或禁止项目，项目用地符合国家土地政策要求</w:t>
      </w:r>
      <w:r>
        <w:rPr>
          <w:rFonts w:ascii="仿宋_GB2312" w:eastAsia="仿宋_GB2312" w:cs="仿宋_GB2312" w:hint="eastAsia"/>
          <w:spacing w:val="-6"/>
          <w:sz w:val="32"/>
          <w:szCs w:val="32"/>
        </w:rPr>
        <w:t>；</w:t>
      </w:r>
      <w:r>
        <w:rPr>
          <w:rFonts w:ascii="仿宋_GB2312" w:eastAsia="仿宋_GB2312" w:cs="仿宋_GB2312" w:hint="eastAsia"/>
          <w:spacing w:val="-6"/>
          <w:sz w:val="32"/>
          <w:szCs w:val="32"/>
          <w:lang w:val="en-US"/>
          <w:highlight w:val="auto"/>
        </w:rPr>
        <w:t>本项目</w:t>
      </w:r>
      <w:r>
        <w:rPr>
          <w:rFonts w:ascii="仿宋_GB2312" w:eastAsia="仿宋_GB2312" w:cs="仿宋_GB2312" w:hint="eastAsia"/>
          <w:spacing w:val="-6"/>
          <w:sz w:val="32"/>
          <w:szCs w:val="32"/>
          <w:highlight w:val="auto"/>
        </w:rPr>
        <w:t>属于“两高”</w:t>
      </w:r>
      <w:r>
        <w:rPr>
          <w:rFonts w:ascii="仿宋_GB2312" w:eastAsia="仿宋_GB2312" w:cs="仿宋_GB2312" w:hint="eastAsia"/>
          <w:spacing w:val="-6"/>
          <w:sz w:val="32"/>
          <w:szCs w:val="32"/>
          <w:lang w:val="en-US"/>
          <w:highlight w:val="auto"/>
        </w:rPr>
        <w:t>项目，根据</w:t>
      </w:r>
      <w:r>
        <w:rPr>
          <w:rFonts w:ascii="仿宋_GB2312" w:eastAsia="仿宋_GB2312" w:cs="仿宋_GB2312" w:hint="eastAsia"/>
          <w:spacing w:val="-6"/>
          <w:sz w:val="32"/>
          <w:szCs w:val="32"/>
          <w:highlight w:val="auto"/>
        </w:rPr>
        <w:t>《河北省发展和改革委员会关于加强新建“两高”项目管理的通知》</w:t>
      </w:r>
      <w:r>
        <w:rPr>
          <w:rFonts w:ascii="仿宋_GB2312" w:eastAsia="仿宋_GB2312" w:cs="仿宋_GB2312" w:hint="eastAsia"/>
          <w:spacing w:val="-6"/>
          <w:sz w:val="32"/>
          <w:szCs w:val="32"/>
          <w:lang w:val="en-US"/>
          <w:highlight w:val="auto"/>
        </w:rPr>
        <w:t>的要求编制了节能报告，并取得了《卢龙县行政审批局关于20万吨／年高活性氢氧化钙项目节能报告的审查意见》（卢行审节能[2022]4号）</w:t>
      </w:r>
      <w:r>
        <w:rPr>
          <w:rFonts w:ascii="仿宋_GB2312" w:eastAsia="仿宋_GB2312" w:cs="仿宋_GB2312" w:hint="eastAsia"/>
          <w:spacing w:val="-6"/>
          <w:sz w:val="32"/>
          <w:szCs w:val="32"/>
          <w:highlight w:val="auto"/>
        </w:rPr>
        <w:t>，该</w:t>
      </w:r>
      <w:r>
        <w:rPr>
          <w:rFonts w:ascii="仿宋_GB2312" w:eastAsia="仿宋_GB2312" w:cs="仿宋_GB2312" w:hint="eastAsia"/>
          <w:spacing w:val="-6"/>
          <w:sz w:val="32"/>
          <w:szCs w:val="32"/>
        </w:rPr>
        <w:t>项目已取得了卢龙县行政审批局备案，备案编号为卢行审备字〔2022〕126号，符合当前国家及地方产业政策。</w:t>
      </w:r>
    </w:p>
    <w:p>
      <w:pPr>
        <w:keepNext w:val="0"/>
        <w:keepLines w:val="0"/>
        <w:pageBreakBefore w:val="0"/>
        <w:widowControl w:val="0"/>
        <w:kinsoku/>
        <w:wordWrap/>
        <w:overflowPunct/>
        <w:topLinePunct w:val="0"/>
        <w:autoSpaceDE/>
        <w:autoSpaceDN/>
        <w:adjustRightInd w:val="0"/>
        <w:snapToGrid w:val="0"/>
        <w:spacing w:line="520" w:lineRule="exact"/>
        <w:ind w:left="0" w:firstLineChars="200" w:firstLine="616"/>
        <w:rPr>
          <w:rFonts w:ascii="仿宋_GB2312" w:eastAsia="仿宋_GB2312" w:cs="仿宋_GB2312" w:hint="eastAsia"/>
          <w:spacing w:val="-6"/>
          <w:sz w:val="32"/>
          <w:szCs w:val="32"/>
        </w:rPr>
      </w:pPr>
      <w:r>
        <w:rPr>
          <w:rFonts w:ascii="仿宋_GB2312" w:eastAsia="仿宋_GB2312" w:cs="仿宋_GB2312" w:hint="eastAsia"/>
          <w:spacing w:val="-6"/>
          <w:sz w:val="32"/>
          <w:szCs w:val="32"/>
        </w:rPr>
        <w:t>该《报告表》已通过专家审查，结合各方面专家意见及本项目公众参与调查情况及其公示反馈情况，在项目符合国家和地方产业政策和“三线一单”空间管控要求，选址符合用地规划及环境保护功能区划以及全面落实环境影响报告表提出的各项污染防治措施后，工程建设对环境的不利影响能够得到减缓和控制。我局原则同意环境影响报告表中所列建设项目的地点、性质、规模、工艺和拟采取的环境保护措施。</w:t>
      </w:r>
    </w:p>
    <w:p>
      <w:pPr>
        <w:keepNext w:val="0"/>
        <w:keepLines w:val="0"/>
        <w:pageBreakBefore w:val="0"/>
        <w:widowControl w:val="0"/>
        <w:kinsoku/>
        <w:wordWrap/>
        <w:overflowPunct/>
        <w:topLinePunct w:val="0"/>
        <w:autoSpaceDE/>
        <w:autoSpaceDN/>
        <w:adjustRightInd w:val="0"/>
        <w:snapToGrid w:val="0"/>
        <w:spacing w:line="520" w:lineRule="exact"/>
        <w:ind w:left="0" w:firstLineChars="200" w:firstLine="616"/>
        <w:rPr>
          <w:rFonts w:ascii="仿宋_GB2312" w:eastAsia="仿宋_GB2312" w:cs="仿宋_GB2312" w:hint="eastAsia"/>
          <w:spacing w:val="-6"/>
          <w:sz w:val="32"/>
          <w:szCs w:val="32"/>
        </w:rPr>
      </w:pPr>
      <w:r>
        <w:rPr>
          <w:rFonts w:ascii="仿宋_GB2312" w:eastAsia="仿宋_GB2312" w:cs="仿宋_GB2312" w:hint="eastAsia"/>
          <w:spacing w:val="-6"/>
          <w:sz w:val="32"/>
          <w:szCs w:val="32"/>
        </w:rPr>
        <w:t>二、项目须加强生产全过程管理，强化综合利用，降低能耗物耗，减少各种污染物的产生量和排放量。同时，你公司在项目建设和运行过程中要认真落实《报告表》提出的各项污染防治措施，确保各治污设施正常运行，各种污染物达标排放，各项环保设施设计应当由具有环保设施工程设计资质的单位承担，按照要求认真落实各项污染防治措施，加强环保设施运营管理，确保满足相关要求，并重点做好以下工作：</w:t>
      </w:r>
    </w:p>
    <w:p>
      <w:pPr>
        <w:keepNext w:val="0"/>
        <w:keepLines w:val="0"/>
        <w:pageBreakBefore w:val="0"/>
        <w:widowControl w:val="0"/>
        <w:kinsoku/>
        <w:wordWrap/>
        <w:overflowPunct/>
        <w:topLinePunct w:val="0"/>
        <w:autoSpaceDE/>
        <w:autoSpaceDN/>
        <w:adjustRightInd w:val="0"/>
        <w:snapToGrid w:val="0"/>
        <w:spacing w:line="520" w:lineRule="exact"/>
        <w:ind w:left="0" w:firstLineChars="200" w:firstLine="616"/>
        <w:rPr>
          <w:rFonts w:ascii="仿宋_GB2312" w:eastAsia="仿宋_GB2312" w:cs="仿宋_GB2312" w:hint="eastAsia"/>
          <w:spacing w:val="-6"/>
          <w:sz w:val="32"/>
          <w:szCs w:val="32"/>
        </w:rPr>
      </w:pPr>
      <w:r>
        <w:rPr>
          <w:rFonts w:ascii="仿宋_GB2312" w:eastAsia="仿宋_GB2312" w:cs="仿宋_GB2312" w:hint="eastAsia"/>
          <w:spacing w:val="-6"/>
          <w:sz w:val="32"/>
          <w:szCs w:val="32"/>
        </w:rPr>
        <w:t>（一）加强施工期环境管理，减少施工对环境的影响</w:t>
      </w:r>
    </w:p>
    <w:p>
      <w:pPr>
        <w:keepNext w:val="0"/>
        <w:keepLines w:val="0"/>
        <w:pageBreakBefore w:val="0"/>
        <w:widowControl w:val="0"/>
        <w:kinsoku/>
        <w:wordWrap/>
        <w:overflowPunct/>
        <w:topLinePunct w:val="0"/>
        <w:autoSpaceDE/>
        <w:autoSpaceDN/>
        <w:adjustRightInd w:val="0"/>
        <w:snapToGrid w:val="0"/>
        <w:spacing w:line="520" w:lineRule="exact"/>
        <w:ind w:left="0" w:firstLineChars="200" w:firstLine="616"/>
        <w:rPr>
          <w:rFonts w:ascii="仿宋_GB2312" w:eastAsia="仿宋_GB2312" w:cs="仿宋_GB2312" w:hint="eastAsia"/>
          <w:spacing w:val="-6"/>
          <w:sz w:val="32"/>
          <w:szCs w:val="32"/>
        </w:rPr>
      </w:pPr>
      <w:r>
        <w:rPr>
          <w:rFonts w:ascii="仿宋_GB2312" w:eastAsia="仿宋_GB2312" w:cs="仿宋_GB2312" w:hint="eastAsia"/>
          <w:spacing w:val="-6"/>
          <w:sz w:val="32"/>
          <w:szCs w:val="32"/>
        </w:rPr>
        <w:t>1</w:t>
      </w:r>
      <w:r>
        <w:rPr>
          <w:rFonts w:ascii="仿宋_GB2312" w:eastAsia="仿宋_GB2312" w:cs="仿宋_GB2312" w:hint="eastAsia"/>
          <w:spacing w:val="-6"/>
          <w:sz w:val="32"/>
          <w:szCs w:val="32"/>
          <w:lang w:val="en-US"/>
        </w:rPr>
        <w:t>.本</w:t>
      </w:r>
      <w:r>
        <w:rPr>
          <w:rFonts w:ascii="仿宋_GB2312" w:eastAsia="仿宋_GB2312" w:cs="仿宋_GB2312" w:hint="eastAsia"/>
          <w:spacing w:val="-6"/>
          <w:sz w:val="32"/>
          <w:szCs w:val="32"/>
        </w:rPr>
        <w:t>项目施工期主要包括生产车间建设、成品库部分拆除、安装生产设备、设施等。建设及施工单位要严格执行《河北省2023年建筑施工扬尘污染防治工作方案》和《河北省扬尘污染防治办法》（河北省人民政府令[2020]第1号）中有关施工扬尘的管理规定，采取落实各项控制扬尘污染措施，设置不少于4个扬尘监测点，施工场地扬尘排放执行河北省地方标准《施工场地扬尘排放标准》（DB13/2934-2019）和《河北省2023年建筑施工扬尘污染防治工作方案》冀建质安函〔2023〕105号表1中的标准：80μg/m</w:t>
      </w:r>
      <w:r>
        <w:rPr>
          <w:rFonts w:ascii="仿宋_GB2312" w:eastAsia="仿宋_GB2312" w:cs="仿宋_GB2312" w:hint="eastAsia"/>
          <w:spacing w:val="-6"/>
          <w:sz w:val="32"/>
          <w:szCs w:val="32"/>
          <w:vertAlign w:val="superscript"/>
        </w:rPr>
        <w:t>3</w:t>
      </w:r>
      <w:r>
        <w:rPr>
          <w:rFonts w:ascii="仿宋_GB2312" w:eastAsia="仿宋_GB2312" w:cs="仿宋_GB2312" w:hint="eastAsia"/>
          <w:spacing w:val="-6"/>
          <w:sz w:val="32"/>
          <w:szCs w:val="32"/>
        </w:rPr>
        <w:t>的要求。施工期生产废水主要为建筑地基挖掘机械设备的冲洗废水、混凝土养护等过程产生的废水以及运输车辆冲洗废水，应设置沉淀池，生产废水经沉淀池澄清后全部回用，不外排；施工生活污水泼洒抑尘。采用低噪声施工机械，定期维护保养，严格按操作规范使用各类机械，施工车辆出入现场应低速、禁鸣，施工车辆运输路线应尽量远离村庄。在建围挡内施工，避免高噪声机械同时作业，合理安排施工时间及进度，严禁午间12:00-14:00、夜间 20:00-次日6:00施工。确需夜间施工的，提前到相关部门登记并告知周边村民，施工阶段作业噪声</w:t>
      </w:r>
      <w:r>
        <w:rPr>
          <w:rFonts w:ascii="仿宋_GB2312" w:eastAsia="仿宋_GB2312" w:cs="仿宋_GB2312"/>
          <w:spacing w:val="-6"/>
          <w:sz w:val="32"/>
          <w:szCs w:val="32"/>
        </w:rPr>
        <w:t>须</w:t>
      </w:r>
      <w:r>
        <w:rPr>
          <w:rFonts w:ascii="仿宋_GB2312" w:eastAsia="仿宋_GB2312" w:cs="仿宋_GB2312" w:hint="eastAsia"/>
          <w:spacing w:val="-6"/>
          <w:sz w:val="32"/>
          <w:szCs w:val="32"/>
        </w:rPr>
        <w:t>满足《建筑施工场界环境噪声排放标准》(GB12523-2011)中限值要求；施工期产生的弃土、废石、混凝土块等建筑垃圾</w:t>
      </w:r>
      <w:r>
        <w:rPr>
          <w:rFonts w:ascii="仿宋_GB2312" w:eastAsia="仿宋_GB2312" w:cs="仿宋_GB2312"/>
          <w:spacing w:val="-6"/>
          <w:sz w:val="32"/>
          <w:szCs w:val="32"/>
        </w:rPr>
        <w:t>，</w:t>
      </w:r>
      <w:r>
        <w:rPr>
          <w:rFonts w:ascii="仿宋_GB2312" w:eastAsia="仿宋_GB2312" w:cs="仿宋_GB2312" w:hint="eastAsia"/>
          <w:spacing w:val="-6"/>
          <w:sz w:val="32"/>
          <w:szCs w:val="32"/>
        </w:rPr>
        <w:t>金属废料</w:t>
      </w:r>
      <w:r>
        <w:rPr>
          <w:rFonts w:ascii="仿宋_GB2312" w:eastAsia="仿宋_GB2312" w:cs="仿宋_GB2312"/>
          <w:spacing w:val="-6"/>
          <w:sz w:val="32"/>
          <w:szCs w:val="32"/>
        </w:rPr>
        <w:t>，</w:t>
      </w:r>
      <w:r>
        <w:rPr>
          <w:rFonts w:ascii="仿宋_GB2312" w:eastAsia="仿宋_GB2312" w:cs="仿宋_GB2312" w:hint="eastAsia"/>
          <w:spacing w:val="-6"/>
          <w:sz w:val="32"/>
          <w:szCs w:val="32"/>
        </w:rPr>
        <w:t>废保温棉和施工人员产生的生活垃圾。建筑垃圾全部用于基础回填、场地平整，填挖平衡；不能利用的废石、废混凝土块等建筑垃圾运至当地城建部门统一处理，不得随意倾倒；金属废料外售；施工现场设置垃圾桶，废保温棉和生活垃圾由当地环卫门定期收集处置。</w:t>
      </w:r>
    </w:p>
    <w:p>
      <w:pPr>
        <w:keepNext w:val="0"/>
        <w:keepLines w:val="0"/>
        <w:pageBreakBefore w:val="0"/>
        <w:widowControl w:val="0"/>
        <w:kinsoku/>
        <w:wordWrap/>
        <w:overflowPunct/>
        <w:topLinePunct w:val="0"/>
        <w:autoSpaceDE/>
        <w:autoSpaceDN/>
        <w:adjustRightInd w:val="0"/>
        <w:snapToGrid w:val="0"/>
        <w:spacing w:line="520" w:lineRule="exact"/>
        <w:ind w:left="0" w:firstLineChars="200" w:firstLine="616"/>
        <w:rPr>
          <w:rFonts w:ascii="仿宋_GB2312" w:eastAsia="仿宋_GB2312" w:cs="仿宋_GB2312" w:hint="eastAsia"/>
          <w:spacing w:val="-6"/>
          <w:sz w:val="32"/>
          <w:szCs w:val="32"/>
        </w:rPr>
      </w:pPr>
      <w:r>
        <w:rPr>
          <w:rFonts w:ascii="仿宋_GB2312" w:eastAsia="仿宋_GB2312" w:cs="仿宋_GB2312" w:hint="eastAsia"/>
          <w:spacing w:val="-6"/>
          <w:sz w:val="32"/>
          <w:szCs w:val="32"/>
        </w:rPr>
        <w:t>2</w:t>
      </w:r>
      <w:r>
        <w:rPr>
          <w:rFonts w:ascii="仿宋_GB2312" w:eastAsia="仿宋_GB2312" w:cs="仿宋_GB2312" w:hint="eastAsia"/>
          <w:spacing w:val="-6"/>
          <w:sz w:val="32"/>
          <w:szCs w:val="32"/>
          <w:lang w:val="en-US"/>
        </w:rPr>
        <w:t>.</w:t>
      </w:r>
      <w:r>
        <w:rPr>
          <w:rFonts w:ascii="仿宋_GB2312" w:eastAsia="仿宋_GB2312" w:cs="仿宋_GB2312" w:hint="eastAsia"/>
          <w:spacing w:val="-6"/>
          <w:sz w:val="32"/>
          <w:szCs w:val="32"/>
        </w:rPr>
        <w:t>加强防腐防渗措施。按《报告表》要求进行相应的防腐防渗施工。</w:t>
      </w:r>
    </w:p>
    <w:p>
      <w:pPr>
        <w:keepNext w:val="0"/>
        <w:keepLines w:val="0"/>
        <w:pageBreakBefore w:val="0"/>
        <w:widowControl w:val="0"/>
        <w:kinsoku/>
        <w:wordWrap/>
        <w:overflowPunct/>
        <w:topLinePunct w:val="0"/>
        <w:autoSpaceDE/>
        <w:autoSpaceDN/>
        <w:adjustRightInd w:val="0"/>
        <w:snapToGrid w:val="0"/>
        <w:spacing w:line="520" w:lineRule="exact"/>
        <w:ind w:left="0" w:firstLineChars="200" w:firstLine="616"/>
        <w:rPr>
          <w:rFonts w:ascii="仿宋_GB2312" w:eastAsia="仿宋_GB2312" w:cs="仿宋_GB2312" w:hint="eastAsia"/>
          <w:spacing w:val="-6"/>
          <w:sz w:val="32"/>
          <w:szCs w:val="32"/>
        </w:rPr>
      </w:pPr>
      <w:r>
        <w:rPr>
          <w:rFonts w:ascii="仿宋_GB2312" w:eastAsia="仿宋_GB2312" w:cs="仿宋_GB2312" w:hint="eastAsia"/>
          <w:spacing w:val="-6"/>
          <w:sz w:val="32"/>
          <w:szCs w:val="32"/>
        </w:rPr>
        <w:t>（二）加强运营期环保设施管理，认真落实各项污染防治措施，确保满足相关要求。</w:t>
      </w:r>
    </w:p>
    <w:p>
      <w:pPr>
        <w:keepNext w:val="0"/>
        <w:keepLines w:val="0"/>
        <w:pageBreakBefore w:val="0"/>
        <w:widowControl w:val="0"/>
        <w:kinsoku/>
        <w:wordWrap/>
        <w:overflowPunct/>
        <w:topLinePunct w:val="0"/>
        <w:autoSpaceDE/>
        <w:autoSpaceDN/>
        <w:adjustRightInd w:val="0"/>
        <w:snapToGrid w:val="0"/>
        <w:spacing w:line="520" w:lineRule="exact"/>
        <w:ind w:left="0" w:firstLineChars="200" w:firstLine="616"/>
        <w:rPr>
          <w:rFonts w:ascii="仿宋_GB2312" w:eastAsia="仿宋_GB2312" w:cs="仿宋_GB2312" w:hint="eastAsia"/>
          <w:spacing w:val="-6"/>
          <w:sz w:val="32"/>
          <w:szCs w:val="32"/>
        </w:rPr>
      </w:pPr>
      <w:r>
        <w:rPr>
          <w:rFonts w:ascii="仿宋_GB2312" w:eastAsia="仿宋_GB2312" w:cs="仿宋_GB2312" w:hint="eastAsia"/>
          <w:spacing w:val="-6"/>
          <w:sz w:val="32"/>
          <w:szCs w:val="32"/>
          <w:lang w:val="en-US"/>
        </w:rPr>
        <w:t>1.</w:t>
      </w:r>
      <w:r>
        <w:rPr>
          <w:rFonts w:ascii="仿宋_GB2312" w:eastAsia="仿宋_GB2312" w:cs="仿宋_GB2312" w:hint="eastAsia"/>
          <w:spacing w:val="-6"/>
          <w:sz w:val="32"/>
          <w:szCs w:val="32"/>
        </w:rPr>
        <w:t>严格落实大气污染防治措施</w:t>
      </w:r>
    </w:p>
    <w:p>
      <w:pPr>
        <w:keepNext w:val="0"/>
        <w:keepLines w:val="0"/>
        <w:pageBreakBefore w:val="0"/>
        <w:widowControl w:val="0"/>
        <w:kinsoku/>
        <w:wordWrap/>
        <w:overflowPunct/>
        <w:topLinePunct w:val="0"/>
        <w:autoSpaceDE/>
        <w:autoSpaceDN/>
        <w:adjustRightInd w:val="0"/>
        <w:snapToGrid w:val="0"/>
        <w:spacing w:line="520" w:lineRule="exact"/>
        <w:ind w:left="0" w:firstLineChars="200" w:firstLine="616"/>
        <w:rPr>
          <w:rFonts w:ascii="仿宋_GB2312" w:eastAsia="仿宋_GB2312" w:cs="仿宋_GB2312" w:hint="eastAsia"/>
          <w:spacing w:val="-6"/>
          <w:sz w:val="32"/>
          <w:szCs w:val="32"/>
          <w:highlight w:val="auto"/>
        </w:rPr>
      </w:pPr>
      <w:r>
        <w:rPr>
          <w:rFonts w:ascii="仿宋_GB2312" w:eastAsia="仿宋_GB2312" w:cs="仿宋_GB2312" w:hint="eastAsia"/>
          <w:spacing w:val="-6"/>
          <w:sz w:val="32"/>
          <w:szCs w:val="32"/>
          <w:highlight w:val="auto"/>
        </w:rPr>
        <w:t>（1）废气</w:t>
      </w:r>
    </w:p>
    <w:p>
      <w:pPr>
        <w:keepNext w:val="0"/>
        <w:keepLines w:val="0"/>
        <w:pageBreakBefore w:val="0"/>
        <w:widowControl w:val="0"/>
        <w:kinsoku/>
        <w:wordWrap/>
        <w:overflowPunct/>
        <w:topLinePunct w:val="0"/>
        <w:autoSpaceDE/>
        <w:autoSpaceDN/>
        <w:adjustRightInd w:val="0"/>
        <w:snapToGrid w:val="0"/>
        <w:spacing w:line="520" w:lineRule="exact"/>
        <w:ind w:left="0" w:firstLineChars="200" w:firstLine="616"/>
        <w:rPr>
          <w:rFonts w:ascii="仿宋_GB2312" w:eastAsia="仿宋_GB2312" w:cs="仿宋_GB2312" w:hint="eastAsia"/>
          <w:spacing w:val="-6"/>
          <w:sz w:val="32"/>
          <w:szCs w:val="32"/>
          <w:lang w:val="en-US"/>
          <w:highlight w:val="auto"/>
        </w:rPr>
      </w:pPr>
      <w:r>
        <w:rPr>
          <w:rFonts w:ascii="仿宋_GB2312" w:eastAsia="仿宋_GB2312" w:cs="仿宋_GB2312" w:hint="eastAsia"/>
          <w:spacing w:val="-6"/>
          <w:sz w:val="32"/>
          <w:szCs w:val="32"/>
          <w:lang w:val="en-US"/>
          <w:highlight w:val="auto"/>
        </w:rPr>
        <w:t>一期工程</w:t>
      </w:r>
    </w:p>
    <w:p>
      <w:pPr>
        <w:keepNext w:val="0"/>
        <w:keepLines w:val="0"/>
        <w:pageBreakBefore w:val="0"/>
        <w:widowControl w:val="0"/>
        <w:kinsoku/>
        <w:wordWrap/>
        <w:overflowPunct/>
        <w:topLinePunct w:val="0"/>
        <w:autoSpaceDE/>
        <w:autoSpaceDN/>
        <w:adjustRightInd w:val="0"/>
        <w:snapToGrid w:val="0"/>
        <w:spacing w:line="520" w:lineRule="exact"/>
        <w:ind w:left="0" w:firstLineChars="200" w:firstLine="616"/>
        <w:rPr>
          <w:rFonts w:ascii="仿宋_GB2312" w:eastAsia="仿宋_GB2312" w:cs="仿宋_GB2312" w:hint="eastAsia"/>
          <w:spacing w:val="-6"/>
          <w:sz w:val="32"/>
          <w:szCs w:val="32"/>
          <w:lang w:val="en-US"/>
          <w:highlight w:val="auto"/>
        </w:rPr>
      </w:pPr>
      <w:r>
        <w:rPr>
          <w:rFonts w:ascii="仿宋_GB2312" w:eastAsia="仿宋_GB2312" w:cs="仿宋_GB2312" w:hint="eastAsia"/>
          <w:spacing w:val="-6"/>
          <w:sz w:val="32"/>
          <w:szCs w:val="32"/>
          <w:lang w:val="en-US"/>
          <w:highlight w:val="auto"/>
        </w:rPr>
        <w:t>本项目一期工程废气主要为原料仓废气、破碎机及受料斗废气、消化器废气、干燥过程废气、研磨过程废气、包装过程废气、成品仓废气、天然气热风炉废气。</w:t>
      </w:r>
    </w:p>
    <w:p>
      <w:pPr>
        <w:keepNext w:val="0"/>
        <w:keepLines w:val="0"/>
        <w:pageBreakBefore w:val="0"/>
        <w:widowControl w:val="0"/>
        <w:kinsoku/>
        <w:wordWrap/>
        <w:overflowPunct/>
        <w:topLinePunct w:val="0"/>
        <w:autoSpaceDE/>
        <w:autoSpaceDN/>
        <w:adjustRightInd w:val="0"/>
        <w:snapToGrid w:val="0"/>
        <w:spacing w:line="520" w:lineRule="exact"/>
        <w:ind w:left="0" w:firstLineChars="200" w:firstLine="616"/>
        <w:rPr>
          <w:rFonts w:ascii="仿宋_GB2312" w:eastAsia="仿宋_GB2312" w:cs="仿宋_GB2312" w:hint="eastAsia"/>
          <w:spacing w:val="-6"/>
          <w:sz w:val="32"/>
          <w:szCs w:val="32"/>
          <w:lang w:val="en-US"/>
          <w:highlight w:val="auto"/>
        </w:rPr>
      </w:pPr>
      <w:r>
        <w:rPr>
          <w:rFonts w:ascii="仿宋_GB2312" w:eastAsia="仿宋_GB2312" w:cs="仿宋_GB2312" w:hint="eastAsia"/>
          <w:spacing w:val="-6"/>
          <w:sz w:val="32"/>
          <w:szCs w:val="32"/>
          <w:lang w:val="en-US"/>
          <w:highlight w:val="auto"/>
        </w:rPr>
        <w:t>&lt;1&gt;有组织废气</w:t>
      </w:r>
    </w:p>
    <w:p>
      <w:pPr>
        <w:keepNext w:val="0"/>
        <w:keepLines w:val="0"/>
        <w:pageBreakBefore w:val="0"/>
        <w:widowControl w:val="0"/>
        <w:kinsoku/>
        <w:wordWrap/>
        <w:overflowPunct/>
        <w:topLinePunct w:val="0"/>
        <w:autoSpaceDE/>
        <w:autoSpaceDN/>
        <w:adjustRightInd w:val="0"/>
        <w:snapToGrid w:val="0"/>
        <w:spacing w:line="520" w:lineRule="exact"/>
        <w:ind w:left="0" w:firstLineChars="200" w:firstLine="616"/>
        <w:rPr>
          <w:rFonts w:ascii="仿宋_GB2312" w:eastAsia="仿宋_GB2312" w:cs="仿宋_GB2312" w:hint="eastAsia"/>
          <w:bCs/>
          <w:spacing w:val="-6"/>
          <w:sz w:val="32"/>
          <w:szCs w:val="32"/>
          <w:lang w:val="en-US"/>
          <w:highlight w:val="auto"/>
        </w:rPr>
      </w:pPr>
      <w:r>
        <w:rPr>
          <w:rFonts w:ascii="仿宋_GB2312" w:eastAsia="仿宋_GB2312" w:cs="仿宋_GB2312" w:hint="eastAsia"/>
          <w:bCs/>
          <w:spacing w:val="-6"/>
          <w:sz w:val="32"/>
          <w:szCs w:val="32"/>
          <w:lang w:val="en-US"/>
          <w:highlight w:val="auto"/>
        </w:rPr>
        <w:fldChar w:fldCharType="begin"/>
      </w:r>
      <w:r>
        <w:rPr>
          <w:rFonts w:ascii="仿宋_GB2312" w:eastAsia="仿宋_GB2312" w:cs="仿宋_GB2312" w:hint="eastAsia"/>
          <w:bCs/>
          <w:spacing w:val="-6"/>
          <w:sz w:val="32"/>
          <w:szCs w:val="32"/>
          <w:lang w:val="en-US"/>
          <w:highlight w:val="auto"/>
        </w:rPr>
        <w:instrText xml:space="preserve"> = 1 \* GB3 \* MERGEFORMAT </w:instrText>
      </w:r>
      <w:r>
        <w:rPr>
          <w:rFonts w:ascii="仿宋_GB2312" w:eastAsia="仿宋_GB2312" w:cs="仿宋_GB2312" w:hint="eastAsia"/>
          <w:bCs/>
          <w:spacing w:val="-6"/>
          <w:sz w:val="32"/>
          <w:szCs w:val="32"/>
          <w:lang w:val="en-US"/>
          <w:highlight w:val="auto"/>
        </w:rPr>
        <w:fldChar w:fldCharType="separate"/>
      </w:r>
      <w:r>
        <w:rPr>
          <w:rFonts w:ascii="仿宋_GB2312" w:eastAsia="仿宋_GB2312" w:cs="仿宋_GB2312" w:hint="eastAsia"/>
          <w:bCs/>
          <w:spacing w:val="-6"/>
          <w:sz w:val="32"/>
          <w:szCs w:val="32"/>
          <w:lang w:val="en-US"/>
          <w:highlight w:val="auto"/>
        </w:rPr>
        <w:t>①</w:t>
      </w:r>
      <w:r>
        <w:rPr>
          <w:rFonts w:ascii="仿宋_GB2312" w:eastAsia="仿宋_GB2312" w:cs="仿宋_GB2312" w:hint="eastAsia"/>
          <w:bCs/>
          <w:spacing w:val="-6"/>
          <w:sz w:val="32"/>
          <w:szCs w:val="32"/>
          <w:lang w:val="en-US"/>
          <w:highlight w:val="auto"/>
        </w:rPr>
        <w:fldChar w:fldCharType="end"/>
      </w:r>
      <w:r>
        <w:rPr>
          <w:rFonts w:ascii="仿宋_GB2312" w:eastAsia="仿宋_GB2312" w:cs="仿宋_GB2312" w:hint="eastAsia"/>
          <w:spacing w:val="-6"/>
          <w:sz w:val="32"/>
          <w:szCs w:val="32"/>
          <w:lang w:val="en-US"/>
          <w:highlight w:val="auto"/>
        </w:rPr>
        <w:t>原料仓废气</w:t>
      </w:r>
    </w:p>
    <w:p>
      <w:pPr>
        <w:keepNext w:val="0"/>
        <w:keepLines w:val="0"/>
        <w:pageBreakBefore w:val="0"/>
        <w:widowControl w:val="0"/>
        <w:kinsoku/>
        <w:wordWrap/>
        <w:overflowPunct/>
        <w:topLinePunct w:val="0"/>
        <w:autoSpaceDE/>
        <w:autoSpaceDN/>
        <w:adjustRightInd w:val="0"/>
        <w:snapToGrid w:val="0"/>
        <w:spacing w:line="520" w:lineRule="exact"/>
        <w:ind w:left="0" w:firstLineChars="200" w:firstLine="616"/>
        <w:rPr>
          <w:rFonts w:ascii="仿宋_GB2312" w:eastAsia="仿宋_GB2312" w:cs="仿宋_GB2312" w:hint="eastAsia"/>
          <w:bCs/>
          <w:spacing w:val="-6"/>
          <w:sz w:val="32"/>
          <w:szCs w:val="32"/>
          <w:lang w:val="en-US"/>
          <w:highlight w:val="auto"/>
        </w:rPr>
      </w:pPr>
      <w:r>
        <w:rPr>
          <w:rFonts w:ascii="仿宋_GB2312" w:eastAsia="仿宋_GB2312" w:cs="仿宋_GB2312" w:hint="eastAsia"/>
          <w:bCs/>
          <w:spacing w:val="-6"/>
          <w:sz w:val="32"/>
          <w:szCs w:val="32"/>
          <w:lang w:val="en-US"/>
          <w:highlight w:val="auto"/>
        </w:rPr>
        <w:t>原料仓废气通过仓顶设置的1台2#脉冲布袋除尘器进行处理，经1根32m排气筒（P2）排放，</w:t>
      </w:r>
      <w:r>
        <w:rPr>
          <w:rFonts w:ascii="仿宋_GB2312" w:eastAsia="仿宋_GB2312" w:cs="仿宋_GB2312" w:hint="eastAsia"/>
          <w:spacing w:val="-6"/>
          <w:sz w:val="32"/>
          <w:szCs w:val="32"/>
          <w:lang w:val="en-US"/>
          <w:highlight w:val="auto"/>
        </w:rPr>
        <w:t>排放浓度满足《石灰、电石工业大气污染物排放标准》（GB41618-2022）表1大气污染物排放限值（20mg/m</w:t>
      </w:r>
      <w:r>
        <w:rPr>
          <w:rFonts w:ascii="仿宋_GB2312" w:eastAsia="仿宋_GB2312" w:cs="仿宋_GB2312" w:hint="eastAsia"/>
          <w:spacing w:val="-6"/>
          <w:sz w:val="32"/>
          <w:szCs w:val="32"/>
          <w:vertAlign w:val="superscript"/>
          <w:lang w:val="en-US"/>
          <w:highlight w:val="auto"/>
        </w:rPr>
        <w:t>3</w:t>
      </w:r>
      <w:r>
        <w:rPr>
          <w:rFonts w:ascii="仿宋_GB2312" w:eastAsia="仿宋_GB2312" w:cs="仿宋_GB2312" w:hint="eastAsia"/>
          <w:spacing w:val="-6"/>
          <w:sz w:val="32"/>
          <w:szCs w:val="32"/>
          <w:lang w:val="en-US"/>
          <w:highlight w:val="auto"/>
        </w:rPr>
        <w:t>）的要求。</w:t>
      </w:r>
    </w:p>
    <w:p>
      <w:pPr>
        <w:keepNext w:val="0"/>
        <w:keepLines w:val="0"/>
        <w:pageBreakBefore w:val="0"/>
        <w:widowControl w:val="0"/>
        <w:kinsoku/>
        <w:wordWrap/>
        <w:overflowPunct/>
        <w:topLinePunct w:val="0"/>
        <w:autoSpaceDE/>
        <w:autoSpaceDN/>
        <w:adjustRightInd w:val="0"/>
        <w:snapToGrid w:val="0"/>
        <w:spacing w:line="520" w:lineRule="exact"/>
        <w:ind w:left="0" w:firstLineChars="200" w:firstLine="616"/>
        <w:rPr>
          <w:rFonts w:ascii="仿宋_GB2312" w:eastAsia="仿宋_GB2312" w:cs="仿宋_GB2312" w:hint="eastAsia"/>
          <w:bCs/>
          <w:spacing w:val="-6"/>
          <w:sz w:val="32"/>
          <w:szCs w:val="32"/>
          <w:lang w:val="en-US"/>
          <w:highlight w:val="auto"/>
        </w:rPr>
      </w:pPr>
      <w:r>
        <w:rPr>
          <w:rFonts w:ascii="仿宋_GB2312" w:eastAsia="仿宋_GB2312" w:cs="仿宋_GB2312" w:hint="eastAsia"/>
          <w:bCs/>
          <w:spacing w:val="-6"/>
          <w:sz w:val="32"/>
          <w:szCs w:val="32"/>
          <w:lang w:val="en-US"/>
          <w:highlight w:val="auto"/>
        </w:rPr>
        <w:t>②破碎机及受料斗废气</w:t>
      </w:r>
    </w:p>
    <w:p>
      <w:pPr>
        <w:keepNext w:val="0"/>
        <w:keepLines w:val="0"/>
        <w:pageBreakBefore w:val="0"/>
        <w:widowControl w:val="0"/>
        <w:kinsoku/>
        <w:wordWrap/>
        <w:overflowPunct/>
        <w:topLinePunct w:val="0"/>
        <w:autoSpaceDE/>
        <w:autoSpaceDN/>
        <w:adjustRightInd w:val="0"/>
        <w:snapToGrid w:val="0"/>
        <w:spacing w:line="520" w:lineRule="exact"/>
        <w:ind w:left="0" w:firstLineChars="200" w:firstLine="616"/>
        <w:rPr>
          <w:rFonts w:ascii="仿宋_GB2312" w:eastAsia="仿宋_GB2312" w:cs="仿宋_GB2312" w:hint="eastAsia"/>
          <w:bCs/>
          <w:spacing w:val="-6"/>
          <w:sz w:val="32"/>
          <w:szCs w:val="32"/>
          <w:lang w:val="en-US"/>
          <w:highlight w:val="auto"/>
        </w:rPr>
      </w:pPr>
      <w:r>
        <w:rPr>
          <w:rFonts w:ascii="仿宋_GB2312" w:eastAsia="仿宋_GB2312" w:cs="仿宋_GB2312" w:hint="eastAsia"/>
          <w:bCs/>
          <w:spacing w:val="-6"/>
          <w:sz w:val="32"/>
          <w:szCs w:val="32"/>
          <w:lang w:val="en-US"/>
          <w:highlight w:val="auto"/>
        </w:rPr>
        <w:t>破碎机受料斗三面封闭，上方设置集气罩，组成集气通廊，卸料过程在集气通廊中进行；进料口、出料口上方设集气罩，收集的废气经1#脉冲布袋除尘器处理，经公用的1根25m排气筒（P1）排放，</w:t>
      </w:r>
      <w:r>
        <w:rPr>
          <w:rFonts w:ascii="仿宋_GB2312" w:eastAsia="仿宋_GB2312" w:cs="仿宋_GB2312" w:hint="eastAsia"/>
          <w:spacing w:val="-6"/>
          <w:sz w:val="32"/>
          <w:szCs w:val="32"/>
          <w:lang w:val="en-US"/>
          <w:highlight w:val="auto"/>
        </w:rPr>
        <w:t>排放浓度满足《石灰、电石工业大气污染物排放标准》（GB41618-2022）表1大气污染物排放限值（20mg/m</w:t>
      </w:r>
      <w:r>
        <w:rPr>
          <w:rFonts w:ascii="仿宋_GB2312" w:eastAsia="仿宋_GB2312" w:cs="仿宋_GB2312" w:hint="eastAsia"/>
          <w:spacing w:val="-6"/>
          <w:sz w:val="32"/>
          <w:szCs w:val="32"/>
          <w:vertAlign w:val="superscript"/>
          <w:lang w:val="en-US"/>
          <w:highlight w:val="auto"/>
        </w:rPr>
        <w:t>3</w:t>
      </w:r>
      <w:r>
        <w:rPr>
          <w:rFonts w:ascii="仿宋_GB2312" w:eastAsia="仿宋_GB2312" w:cs="仿宋_GB2312" w:hint="eastAsia"/>
          <w:spacing w:val="-6"/>
          <w:sz w:val="32"/>
          <w:szCs w:val="32"/>
          <w:lang w:val="en-US"/>
          <w:highlight w:val="auto"/>
        </w:rPr>
        <w:t>）的要求。</w:t>
      </w:r>
    </w:p>
    <w:p>
      <w:pPr>
        <w:keepNext w:val="0"/>
        <w:keepLines w:val="0"/>
        <w:pageBreakBefore w:val="0"/>
        <w:widowControl w:val="0"/>
        <w:kinsoku/>
        <w:wordWrap/>
        <w:overflowPunct/>
        <w:topLinePunct w:val="0"/>
        <w:autoSpaceDE/>
        <w:autoSpaceDN/>
        <w:adjustRightInd w:val="0"/>
        <w:snapToGrid w:val="0"/>
        <w:spacing w:line="520" w:lineRule="exact"/>
        <w:ind w:left="0" w:firstLineChars="200" w:firstLine="616"/>
        <w:rPr>
          <w:rFonts w:ascii="仿宋_GB2312" w:eastAsia="仿宋_GB2312" w:cs="仿宋_GB2312" w:hint="eastAsia"/>
          <w:bCs/>
          <w:spacing w:val="-6"/>
          <w:sz w:val="32"/>
          <w:szCs w:val="32"/>
          <w:lang w:val="en-US"/>
          <w:highlight w:val="auto"/>
        </w:rPr>
      </w:pPr>
      <w:r>
        <w:rPr>
          <w:rFonts w:ascii="仿宋_GB2312" w:eastAsia="仿宋_GB2312" w:cs="仿宋_GB2312" w:hint="eastAsia"/>
          <w:bCs/>
          <w:spacing w:val="-6"/>
          <w:sz w:val="32"/>
          <w:szCs w:val="32"/>
          <w:lang w:val="en-US"/>
          <w:highlight w:val="auto"/>
        </w:rPr>
        <w:t>③消化器废气</w:t>
      </w:r>
    </w:p>
    <w:p>
      <w:pPr>
        <w:keepNext w:val="0"/>
        <w:keepLines w:val="0"/>
        <w:pageBreakBefore w:val="0"/>
        <w:widowControl w:val="0"/>
        <w:kinsoku/>
        <w:wordWrap/>
        <w:overflowPunct/>
        <w:topLinePunct w:val="0"/>
        <w:autoSpaceDE/>
        <w:autoSpaceDN/>
        <w:adjustRightInd w:val="0"/>
        <w:snapToGrid w:val="0"/>
        <w:spacing w:line="520" w:lineRule="exact"/>
        <w:ind w:left="0" w:firstLineChars="200" w:firstLine="616"/>
        <w:rPr>
          <w:rFonts w:ascii="仿宋_GB2312" w:eastAsia="仿宋_GB2312" w:cs="仿宋_GB2312" w:hint="eastAsia"/>
          <w:bCs/>
          <w:spacing w:val="-6"/>
          <w:sz w:val="32"/>
          <w:szCs w:val="32"/>
          <w:lang w:val="en-US"/>
          <w:highlight w:val="auto"/>
        </w:rPr>
      </w:pPr>
      <w:r>
        <w:rPr>
          <w:rFonts w:ascii="仿宋_GB2312" w:eastAsia="仿宋_GB2312" w:cs="仿宋_GB2312" w:hint="eastAsia"/>
          <w:bCs/>
          <w:spacing w:val="-6"/>
          <w:sz w:val="32"/>
          <w:szCs w:val="32"/>
          <w:lang w:val="en-US"/>
          <w:highlight w:val="auto"/>
        </w:rPr>
        <w:t>消化器、分级机均密闭，一级消化废气经密闭管道收集后进入3#脉冲布袋除尘器处理，二级消化废气经密闭管道收集后进入4#脉冲布袋除尘器处理，经公用的1根25m排气筒（P1）排放，</w:t>
      </w:r>
      <w:r>
        <w:rPr>
          <w:rFonts w:ascii="仿宋_GB2312" w:eastAsia="仿宋_GB2312" w:cs="仿宋_GB2312" w:hint="eastAsia"/>
          <w:spacing w:val="-6"/>
          <w:sz w:val="32"/>
          <w:szCs w:val="32"/>
          <w:lang w:val="en-US"/>
          <w:highlight w:val="auto"/>
        </w:rPr>
        <w:t>排放浓度满足《石灰、电石工业大气污染物排放标准》（GB41618-2022）表1大气污染物排放限值（20mg/m</w:t>
      </w:r>
      <w:r>
        <w:rPr>
          <w:rFonts w:ascii="仿宋_GB2312" w:eastAsia="仿宋_GB2312" w:cs="仿宋_GB2312" w:hint="eastAsia"/>
          <w:spacing w:val="-6"/>
          <w:sz w:val="32"/>
          <w:szCs w:val="32"/>
          <w:vertAlign w:val="superscript"/>
          <w:lang w:val="en-US"/>
          <w:highlight w:val="auto"/>
        </w:rPr>
        <w:t>3</w:t>
      </w:r>
      <w:r>
        <w:rPr>
          <w:rFonts w:ascii="仿宋_GB2312" w:eastAsia="仿宋_GB2312" w:cs="仿宋_GB2312" w:hint="eastAsia"/>
          <w:spacing w:val="-6"/>
          <w:sz w:val="32"/>
          <w:szCs w:val="32"/>
          <w:lang w:val="en-US"/>
          <w:highlight w:val="auto"/>
        </w:rPr>
        <w:t>）的要求。</w:t>
      </w:r>
    </w:p>
    <w:p>
      <w:pPr>
        <w:keepNext w:val="0"/>
        <w:keepLines w:val="0"/>
        <w:pageBreakBefore w:val="0"/>
        <w:widowControl w:val="0"/>
        <w:kinsoku/>
        <w:wordWrap/>
        <w:overflowPunct/>
        <w:topLinePunct w:val="0"/>
        <w:autoSpaceDE/>
        <w:autoSpaceDN/>
        <w:adjustRightInd w:val="0"/>
        <w:snapToGrid w:val="0"/>
        <w:spacing w:line="520" w:lineRule="exact"/>
        <w:ind w:left="0" w:firstLineChars="200" w:firstLine="616"/>
        <w:rPr>
          <w:rFonts w:ascii="仿宋_GB2312" w:eastAsia="仿宋_GB2312" w:cs="仿宋_GB2312" w:hint="eastAsia"/>
          <w:spacing w:val="-6"/>
          <w:sz w:val="32"/>
          <w:szCs w:val="32"/>
          <w:lang w:val="en-US"/>
          <w:highlight w:val="auto"/>
        </w:rPr>
      </w:pPr>
      <w:r>
        <w:rPr>
          <w:rFonts w:ascii="仿宋_GB2312" w:eastAsia="仿宋_GB2312" w:cs="仿宋_GB2312" w:hint="eastAsia"/>
          <w:spacing w:val="-6"/>
          <w:sz w:val="32"/>
          <w:szCs w:val="32"/>
          <w:lang w:val="en-US"/>
          <w:highlight w:val="auto"/>
        </w:rPr>
        <w:t>④干燥</w:t>
      </w:r>
      <w:r>
        <w:rPr>
          <w:rFonts w:ascii="仿宋_GB2312" w:eastAsia="仿宋_GB2312" w:cs="仿宋_GB2312"/>
          <w:spacing w:val="-6"/>
          <w:sz w:val="32"/>
          <w:szCs w:val="32"/>
          <w:lang w:val="en-US"/>
          <w:highlight w:val="auto"/>
        </w:rPr>
        <w:t>过程</w:t>
      </w:r>
      <w:r>
        <w:rPr>
          <w:rFonts w:ascii="仿宋_GB2312" w:eastAsia="仿宋_GB2312" w:cs="仿宋_GB2312" w:hint="eastAsia"/>
          <w:spacing w:val="-6"/>
          <w:sz w:val="32"/>
          <w:szCs w:val="32"/>
          <w:lang w:val="en-US"/>
          <w:highlight w:val="auto"/>
        </w:rPr>
        <w:t>废气</w:t>
      </w:r>
    </w:p>
    <w:p>
      <w:pPr>
        <w:keepNext w:val="0"/>
        <w:keepLines w:val="0"/>
        <w:pageBreakBefore w:val="0"/>
        <w:widowControl w:val="0"/>
        <w:kinsoku/>
        <w:wordWrap/>
        <w:overflowPunct/>
        <w:topLinePunct w:val="0"/>
        <w:autoSpaceDE/>
        <w:autoSpaceDN/>
        <w:adjustRightInd w:val="0"/>
        <w:snapToGrid w:val="0"/>
        <w:spacing w:line="520" w:lineRule="exact"/>
        <w:ind w:left="0" w:firstLineChars="200" w:firstLine="616"/>
        <w:rPr>
          <w:rFonts w:ascii="仿宋_GB2312" w:eastAsia="仿宋_GB2312" w:cs="仿宋_GB2312" w:hint="eastAsia"/>
          <w:bCs/>
          <w:spacing w:val="-6"/>
          <w:sz w:val="32"/>
          <w:szCs w:val="32"/>
          <w:lang w:val="en-US"/>
          <w:highlight w:val="auto"/>
        </w:rPr>
      </w:pPr>
      <w:r>
        <w:rPr>
          <w:rFonts w:ascii="仿宋_GB2312" w:eastAsia="仿宋_GB2312" w:cs="仿宋_GB2312" w:hint="eastAsia"/>
          <w:spacing w:val="-6"/>
          <w:sz w:val="32"/>
          <w:szCs w:val="32"/>
          <w:lang w:val="en-US"/>
          <w:highlight w:val="auto"/>
        </w:rPr>
        <w:t>干燥器设置密闭引风管将废气引入5#脉冲布袋除尘器进行处理，</w:t>
      </w:r>
      <w:r>
        <w:rPr>
          <w:rFonts w:ascii="仿宋_GB2312" w:eastAsia="仿宋_GB2312" w:cs="仿宋_GB2312" w:hint="eastAsia"/>
          <w:bCs/>
          <w:spacing w:val="-6"/>
          <w:sz w:val="32"/>
          <w:szCs w:val="32"/>
          <w:lang w:val="en-US"/>
          <w:highlight w:val="auto"/>
        </w:rPr>
        <w:t>经公用的1根25m排气筒（P1）排放，</w:t>
      </w:r>
      <w:r>
        <w:rPr>
          <w:rFonts w:ascii="仿宋_GB2312" w:eastAsia="仿宋_GB2312" w:cs="仿宋_GB2312" w:hint="eastAsia"/>
          <w:spacing w:val="-6"/>
          <w:sz w:val="32"/>
          <w:szCs w:val="32"/>
          <w:lang w:val="en-US"/>
          <w:highlight w:val="auto"/>
        </w:rPr>
        <w:t>排放浓度满足《石灰、电石工业大气污染物排放标准》（GB41618-2022）表1大气污染物排放限值（20mg/m</w:t>
      </w:r>
      <w:r>
        <w:rPr>
          <w:rFonts w:ascii="仿宋_GB2312" w:eastAsia="仿宋_GB2312" w:cs="仿宋_GB2312" w:hint="eastAsia"/>
          <w:spacing w:val="-6"/>
          <w:sz w:val="32"/>
          <w:szCs w:val="32"/>
          <w:vertAlign w:val="superscript"/>
          <w:lang w:val="en-US"/>
          <w:highlight w:val="auto"/>
        </w:rPr>
        <w:t>3</w:t>
      </w:r>
      <w:r>
        <w:rPr>
          <w:rFonts w:ascii="仿宋_GB2312" w:eastAsia="仿宋_GB2312" w:cs="仿宋_GB2312" w:hint="eastAsia"/>
          <w:spacing w:val="-6"/>
          <w:sz w:val="32"/>
          <w:szCs w:val="32"/>
          <w:lang w:val="en-US"/>
          <w:highlight w:val="auto"/>
        </w:rPr>
        <w:t>）的要求。</w:t>
      </w:r>
    </w:p>
    <w:p>
      <w:pPr>
        <w:keepNext w:val="0"/>
        <w:keepLines w:val="0"/>
        <w:pageBreakBefore w:val="0"/>
        <w:widowControl w:val="0"/>
        <w:kinsoku/>
        <w:wordWrap/>
        <w:overflowPunct/>
        <w:topLinePunct w:val="0"/>
        <w:autoSpaceDE/>
        <w:autoSpaceDN/>
        <w:adjustRightInd w:val="0"/>
        <w:snapToGrid w:val="0"/>
        <w:spacing w:line="520" w:lineRule="exact"/>
        <w:ind w:left="0" w:firstLineChars="200" w:firstLine="616"/>
        <w:rPr>
          <w:rFonts w:ascii="仿宋_GB2312" w:eastAsia="仿宋_GB2312" w:cs="仿宋_GB2312" w:hint="eastAsia"/>
          <w:spacing w:val="-6"/>
          <w:sz w:val="32"/>
          <w:szCs w:val="32"/>
          <w:lang w:val="en-US"/>
          <w:highlight w:val="auto"/>
        </w:rPr>
      </w:pPr>
      <w:r>
        <w:rPr>
          <w:rFonts w:ascii="仿宋_GB2312" w:eastAsia="仿宋_GB2312" w:cs="仿宋_GB2312" w:hint="eastAsia"/>
          <w:spacing w:val="-6"/>
          <w:sz w:val="32"/>
          <w:szCs w:val="32"/>
          <w:lang w:val="en-US"/>
          <w:highlight w:val="auto"/>
        </w:rPr>
        <w:t>⑤研磨</w:t>
      </w:r>
      <w:r>
        <w:rPr>
          <w:rFonts w:ascii="仿宋_GB2312" w:eastAsia="仿宋_GB2312" w:cs="仿宋_GB2312"/>
          <w:spacing w:val="-6"/>
          <w:sz w:val="32"/>
          <w:szCs w:val="32"/>
          <w:lang w:val="en-US"/>
          <w:highlight w:val="auto"/>
        </w:rPr>
        <w:t>、</w:t>
      </w:r>
      <w:r>
        <w:rPr>
          <w:rFonts w:ascii="仿宋_GB2312" w:eastAsia="仿宋_GB2312" w:cs="仿宋_GB2312" w:hint="eastAsia"/>
          <w:spacing w:val="-6"/>
          <w:sz w:val="32"/>
          <w:szCs w:val="32"/>
          <w:lang w:val="en-US"/>
          <w:highlight w:val="auto"/>
        </w:rPr>
        <w:t>包装过程废气</w:t>
      </w:r>
    </w:p>
    <w:p>
      <w:pPr>
        <w:keepNext w:val="0"/>
        <w:keepLines w:val="0"/>
        <w:pageBreakBefore w:val="0"/>
        <w:widowControl w:val="0"/>
        <w:kinsoku/>
        <w:wordWrap/>
        <w:overflowPunct/>
        <w:topLinePunct w:val="0"/>
        <w:autoSpaceDE/>
        <w:autoSpaceDN/>
        <w:adjustRightInd w:val="0"/>
        <w:snapToGrid w:val="0"/>
        <w:spacing w:line="520" w:lineRule="exact"/>
        <w:ind w:left="0" w:firstLineChars="200" w:firstLine="616"/>
        <w:rPr>
          <w:rFonts w:ascii="仿宋_GB2312" w:eastAsia="仿宋_GB2312" w:cs="仿宋_GB2312" w:hint="eastAsia"/>
          <w:spacing w:val="-6"/>
          <w:sz w:val="32"/>
          <w:szCs w:val="32"/>
          <w:lang w:val="en-US"/>
          <w:highlight w:val="auto"/>
        </w:rPr>
      </w:pPr>
      <w:r>
        <w:rPr>
          <w:rFonts w:ascii="仿宋_GB2312" w:eastAsia="仿宋_GB2312" w:cs="仿宋_GB2312" w:hint="eastAsia"/>
          <w:spacing w:val="-6"/>
          <w:sz w:val="32"/>
          <w:szCs w:val="32"/>
          <w:lang w:val="en-US"/>
          <w:highlight w:val="auto"/>
        </w:rPr>
        <w:t>研磨机进料口、出料口上方设集气罩，包装工序采用双套管装置，内部套管下料，外部套管收集废气，将废气集中引入6#脉冲布袋除尘器进行处理，</w:t>
      </w:r>
      <w:r>
        <w:rPr>
          <w:rFonts w:ascii="仿宋_GB2312" w:eastAsia="仿宋_GB2312" w:cs="仿宋_GB2312" w:hint="eastAsia"/>
          <w:bCs/>
          <w:spacing w:val="-6"/>
          <w:sz w:val="32"/>
          <w:szCs w:val="32"/>
          <w:lang w:val="en-US"/>
          <w:highlight w:val="auto"/>
        </w:rPr>
        <w:t>经公用的1根25m排气筒（P1）排放，</w:t>
      </w:r>
      <w:r>
        <w:rPr>
          <w:rFonts w:ascii="仿宋_GB2312" w:eastAsia="仿宋_GB2312" w:cs="仿宋_GB2312" w:hint="eastAsia"/>
          <w:spacing w:val="-6"/>
          <w:sz w:val="32"/>
          <w:szCs w:val="32"/>
          <w:lang w:val="en-US"/>
          <w:highlight w:val="auto"/>
        </w:rPr>
        <w:t>排放浓度满足《石灰、电石工业大气污染物排放标准》（GB41618-2022）表1大气污染物排放限值（20mg/m</w:t>
      </w:r>
      <w:r>
        <w:rPr>
          <w:rFonts w:ascii="仿宋_GB2312" w:eastAsia="仿宋_GB2312" w:cs="仿宋_GB2312" w:hint="eastAsia"/>
          <w:spacing w:val="-6"/>
          <w:sz w:val="32"/>
          <w:szCs w:val="32"/>
          <w:vertAlign w:val="superscript"/>
          <w:lang w:val="en-US"/>
          <w:highlight w:val="auto"/>
        </w:rPr>
        <w:t>3</w:t>
      </w:r>
      <w:r>
        <w:rPr>
          <w:rFonts w:ascii="仿宋_GB2312" w:eastAsia="仿宋_GB2312" w:cs="仿宋_GB2312" w:hint="eastAsia"/>
          <w:spacing w:val="-6"/>
          <w:sz w:val="32"/>
          <w:szCs w:val="32"/>
          <w:lang w:val="en-US"/>
          <w:highlight w:val="auto"/>
        </w:rPr>
        <w:t>）的要求。</w:t>
      </w:r>
    </w:p>
    <w:p>
      <w:pPr>
        <w:keepNext w:val="0"/>
        <w:keepLines w:val="0"/>
        <w:pageBreakBefore w:val="0"/>
        <w:widowControl w:val="0"/>
        <w:kinsoku/>
        <w:wordWrap/>
        <w:overflowPunct/>
        <w:topLinePunct w:val="0"/>
        <w:autoSpaceDE/>
        <w:autoSpaceDN/>
        <w:adjustRightInd w:val="0"/>
        <w:snapToGrid w:val="0"/>
        <w:spacing w:line="520" w:lineRule="exact"/>
        <w:ind w:left="0" w:firstLineChars="200" w:firstLine="616"/>
        <w:rPr>
          <w:rFonts w:ascii="仿宋_GB2312" w:eastAsia="仿宋_GB2312" w:cs="仿宋_GB2312" w:hint="eastAsia"/>
          <w:spacing w:val="-6"/>
          <w:sz w:val="32"/>
          <w:szCs w:val="32"/>
          <w:lang w:val="en-US"/>
          <w:highlight w:val="auto"/>
        </w:rPr>
      </w:pPr>
      <w:r>
        <w:rPr>
          <w:rFonts w:ascii="仿宋_GB2312" w:eastAsia="仿宋_GB2312" w:cs="仿宋_GB2312" w:hint="eastAsia"/>
          <w:spacing w:val="-6"/>
          <w:sz w:val="32"/>
          <w:szCs w:val="32"/>
          <w:lang w:val="en-US"/>
          <w:highlight w:val="auto"/>
        </w:rPr>
        <w:t>⑥成品仓废气</w:t>
      </w:r>
    </w:p>
    <w:p>
      <w:pPr>
        <w:keepNext w:val="0"/>
        <w:keepLines w:val="0"/>
        <w:pageBreakBefore w:val="0"/>
        <w:widowControl w:val="0"/>
        <w:kinsoku/>
        <w:wordWrap/>
        <w:overflowPunct/>
        <w:topLinePunct w:val="0"/>
        <w:autoSpaceDE/>
        <w:autoSpaceDN/>
        <w:adjustRightInd w:val="0"/>
        <w:snapToGrid w:val="0"/>
        <w:spacing w:line="520" w:lineRule="exact"/>
        <w:ind w:left="0" w:firstLineChars="200" w:firstLine="616"/>
        <w:rPr>
          <w:rFonts w:ascii="仿宋_GB2312" w:eastAsia="仿宋_GB2312" w:cs="仿宋_GB2312" w:hint="eastAsia"/>
          <w:spacing w:val="-6"/>
          <w:sz w:val="32"/>
          <w:szCs w:val="32"/>
          <w:lang w:val="en-US" w:bidi="ar-SA"/>
          <w:highlight w:val="auto"/>
        </w:rPr>
      </w:pPr>
      <w:r>
        <w:rPr>
          <w:rFonts w:ascii="仿宋_GB2312" w:eastAsia="仿宋_GB2312" w:cs="仿宋_GB2312" w:hint="eastAsia"/>
          <w:spacing w:val="-6"/>
          <w:sz w:val="32"/>
          <w:szCs w:val="32"/>
          <w:lang w:val="en-US" w:bidi="ar-SA"/>
          <w:highlight w:val="auto"/>
        </w:rPr>
        <w:t>1#成品仓</w:t>
      </w:r>
      <w:r>
        <w:rPr>
          <w:rFonts w:ascii="仿宋_GB2312" w:eastAsia="仿宋_GB2312" w:cs="仿宋_GB2312" w:hint="eastAsia"/>
          <w:bCs/>
          <w:spacing w:val="-6"/>
          <w:sz w:val="32"/>
          <w:szCs w:val="32"/>
          <w:lang w:val="en-US"/>
          <w:highlight w:val="auto"/>
        </w:rPr>
        <w:t>废气通过仓顶设置的1台7#脉冲布袋除尘器进行处理，经1根32m排气筒（P3）排放，</w:t>
      </w:r>
      <w:r>
        <w:rPr>
          <w:rFonts w:ascii="仿宋_GB2312" w:eastAsia="仿宋_GB2312" w:cs="仿宋_GB2312" w:hint="eastAsia"/>
          <w:spacing w:val="-6"/>
          <w:sz w:val="32"/>
          <w:szCs w:val="32"/>
          <w:lang w:val="en-US"/>
          <w:highlight w:val="auto"/>
        </w:rPr>
        <w:t>排放浓度满足《石灰、电石工业大气污染物排放标准》（GB41618-2022）表1大气污染物排放限值（20mg/m</w:t>
      </w:r>
      <w:r>
        <w:rPr>
          <w:rFonts w:ascii="仿宋_GB2312" w:eastAsia="仿宋_GB2312" w:cs="仿宋_GB2312" w:hint="eastAsia"/>
          <w:spacing w:val="-6"/>
          <w:sz w:val="32"/>
          <w:szCs w:val="32"/>
          <w:vertAlign w:val="superscript"/>
          <w:lang w:val="en-US"/>
          <w:highlight w:val="auto"/>
        </w:rPr>
        <w:t>3</w:t>
      </w:r>
      <w:r>
        <w:rPr>
          <w:rFonts w:ascii="仿宋_GB2312" w:eastAsia="仿宋_GB2312" w:cs="仿宋_GB2312" w:hint="eastAsia"/>
          <w:spacing w:val="-6"/>
          <w:sz w:val="32"/>
          <w:szCs w:val="32"/>
          <w:lang w:val="en-US"/>
          <w:highlight w:val="auto"/>
        </w:rPr>
        <w:t>）的要求；</w:t>
      </w:r>
      <w:r>
        <w:rPr>
          <w:rFonts w:ascii="仿宋_GB2312" w:eastAsia="仿宋_GB2312" w:cs="仿宋_GB2312" w:hint="eastAsia"/>
          <w:spacing w:val="-6"/>
          <w:sz w:val="32"/>
          <w:szCs w:val="32"/>
          <w:lang w:val="en-US" w:bidi="ar-SA"/>
          <w:highlight w:val="auto"/>
        </w:rPr>
        <w:t>2#成品仓</w:t>
      </w:r>
      <w:r>
        <w:rPr>
          <w:rFonts w:ascii="仿宋_GB2312" w:eastAsia="仿宋_GB2312" w:cs="仿宋_GB2312" w:hint="eastAsia"/>
          <w:bCs/>
          <w:spacing w:val="-6"/>
          <w:sz w:val="32"/>
          <w:szCs w:val="32"/>
          <w:lang w:val="en-US"/>
          <w:highlight w:val="auto"/>
        </w:rPr>
        <w:t>废气通过仓顶设置的1台8#脉冲布袋除尘器进行处理，经1根32m排气筒（P4）排放，</w:t>
      </w:r>
      <w:r>
        <w:rPr>
          <w:rFonts w:ascii="仿宋_GB2312" w:eastAsia="仿宋_GB2312" w:cs="仿宋_GB2312" w:hint="eastAsia"/>
          <w:spacing w:val="-6"/>
          <w:sz w:val="32"/>
          <w:szCs w:val="32"/>
          <w:lang w:val="en-US"/>
          <w:highlight w:val="auto"/>
        </w:rPr>
        <w:t>排放浓度满足《石灰、电石工业大气污染物排放标准》（GB41618-2022）表1大气污染物排放限值（20mg/m</w:t>
      </w:r>
      <w:r>
        <w:rPr>
          <w:rFonts w:ascii="仿宋_GB2312" w:eastAsia="仿宋_GB2312" w:cs="仿宋_GB2312" w:hint="eastAsia"/>
          <w:spacing w:val="-6"/>
          <w:sz w:val="32"/>
          <w:szCs w:val="32"/>
          <w:vertAlign w:val="superscript"/>
          <w:lang w:val="en-US"/>
          <w:highlight w:val="auto"/>
        </w:rPr>
        <w:t>3</w:t>
      </w:r>
      <w:r>
        <w:rPr>
          <w:rFonts w:ascii="仿宋_GB2312" w:eastAsia="仿宋_GB2312" w:cs="仿宋_GB2312" w:hint="eastAsia"/>
          <w:spacing w:val="-6"/>
          <w:sz w:val="32"/>
          <w:szCs w:val="32"/>
          <w:lang w:val="en-US"/>
          <w:highlight w:val="auto"/>
        </w:rPr>
        <w:t>）的要求。</w:t>
      </w:r>
    </w:p>
    <w:p>
      <w:pPr>
        <w:keepNext w:val="0"/>
        <w:keepLines w:val="0"/>
        <w:pageBreakBefore w:val="0"/>
        <w:widowControl w:val="0"/>
        <w:kinsoku/>
        <w:wordWrap/>
        <w:overflowPunct/>
        <w:topLinePunct w:val="0"/>
        <w:autoSpaceDE/>
        <w:autoSpaceDN/>
        <w:adjustRightInd w:val="0"/>
        <w:snapToGrid w:val="0"/>
        <w:spacing w:line="520" w:lineRule="exact"/>
        <w:ind w:left="0" w:firstLineChars="200" w:firstLine="616"/>
        <w:rPr>
          <w:rFonts w:ascii="仿宋_GB2312" w:eastAsia="仿宋_GB2312" w:cs="仿宋_GB2312" w:hint="eastAsia"/>
          <w:spacing w:val="-6"/>
          <w:sz w:val="32"/>
          <w:szCs w:val="32"/>
          <w:lang w:val="en-US"/>
          <w:highlight w:val="auto"/>
        </w:rPr>
      </w:pPr>
      <w:r>
        <w:rPr>
          <w:rFonts w:ascii="仿宋_GB2312" w:eastAsia="仿宋_GB2312" w:cs="仿宋_GB2312" w:hint="eastAsia"/>
          <w:spacing w:val="-6"/>
          <w:sz w:val="32"/>
          <w:szCs w:val="32"/>
          <w:lang w:val="en-US"/>
          <w:highlight w:val="auto"/>
        </w:rPr>
        <w:t>⑦天然气热风炉废气</w:t>
      </w:r>
    </w:p>
    <w:p>
      <w:pPr>
        <w:keepNext w:val="0"/>
        <w:keepLines w:val="0"/>
        <w:pageBreakBefore w:val="0"/>
        <w:widowControl w:val="0"/>
        <w:kinsoku/>
        <w:wordWrap/>
        <w:overflowPunct/>
        <w:topLinePunct w:val="0"/>
        <w:autoSpaceDE/>
        <w:autoSpaceDN/>
        <w:adjustRightInd w:val="0"/>
        <w:snapToGrid w:val="0"/>
        <w:spacing w:line="520" w:lineRule="exact"/>
        <w:ind w:left="0" w:firstLineChars="200" w:firstLine="616"/>
        <w:rPr>
          <w:rFonts w:ascii="仿宋_GB2312" w:eastAsia="仿宋_GB2312" w:cs="仿宋_GB2312" w:hint="eastAsia"/>
          <w:bCs/>
          <w:spacing w:val="-6"/>
          <w:sz w:val="32"/>
          <w:szCs w:val="32"/>
          <w:lang w:val="en-US"/>
          <w:highlight w:val="auto"/>
        </w:rPr>
      </w:pPr>
      <w:r>
        <w:rPr>
          <w:rFonts w:ascii="仿宋_GB2312" w:eastAsia="仿宋_GB2312" w:cs="仿宋_GB2312" w:hint="eastAsia"/>
          <w:bCs/>
          <w:spacing w:val="-6"/>
          <w:sz w:val="32"/>
          <w:szCs w:val="32"/>
          <w:lang w:val="en-US"/>
          <w:highlight w:val="auto"/>
        </w:rPr>
        <w:t>热风炉采用天然气作为燃料，设置低氮燃烧器，燃烧废气通过1根25m排气筒（P5）排放，</w:t>
      </w:r>
      <w:r>
        <w:rPr>
          <w:rFonts w:ascii="仿宋_GB2312" w:eastAsia="仿宋_GB2312" w:cs="仿宋_GB2312" w:hint="eastAsia"/>
          <w:spacing w:val="-6"/>
          <w:sz w:val="32"/>
          <w:szCs w:val="32"/>
          <w:lang w:val="en-US"/>
          <w:highlight w:val="auto"/>
        </w:rPr>
        <w:t>排放浓度满足《工业炉窑大气污染物排放标准》（DB13/1640-2012）以及《关于印发&lt;工业炉窑大气污染物综合治理方案&gt;的通知》（环大气[2019]56号）标准要求。</w:t>
      </w:r>
    </w:p>
    <w:p>
      <w:pPr>
        <w:keepNext w:val="0"/>
        <w:keepLines w:val="0"/>
        <w:pageBreakBefore w:val="0"/>
        <w:widowControl w:val="0"/>
        <w:kinsoku/>
        <w:wordWrap/>
        <w:overflowPunct/>
        <w:topLinePunct w:val="0"/>
        <w:autoSpaceDE/>
        <w:autoSpaceDN/>
        <w:adjustRightInd w:val="0"/>
        <w:snapToGrid w:val="0"/>
        <w:spacing w:line="520" w:lineRule="exact"/>
        <w:ind w:left="0" w:firstLineChars="200" w:firstLine="616"/>
        <w:rPr>
          <w:rFonts w:ascii="仿宋_GB2312" w:eastAsia="仿宋_GB2312" w:cs="仿宋_GB2312" w:hint="eastAsia"/>
          <w:spacing w:val="-6"/>
          <w:sz w:val="32"/>
          <w:szCs w:val="32"/>
          <w:lang w:val="en-US"/>
          <w:highlight w:val="auto"/>
        </w:rPr>
      </w:pPr>
      <w:r>
        <w:rPr>
          <w:rFonts w:ascii="仿宋_GB2312" w:eastAsia="仿宋_GB2312" w:cs="仿宋_GB2312" w:hint="eastAsia"/>
          <w:spacing w:val="-6"/>
          <w:sz w:val="32"/>
          <w:szCs w:val="32"/>
          <w:lang w:val="en-US"/>
          <w:highlight w:val="auto"/>
        </w:rPr>
        <w:t>&lt;2&gt;无组织废气</w:t>
      </w:r>
    </w:p>
    <w:p>
      <w:pPr>
        <w:keepNext w:val="0"/>
        <w:keepLines w:val="0"/>
        <w:pageBreakBefore w:val="0"/>
        <w:widowControl w:val="0"/>
        <w:kinsoku/>
        <w:wordWrap/>
        <w:overflowPunct/>
        <w:topLinePunct w:val="0"/>
        <w:autoSpaceDE/>
        <w:autoSpaceDN/>
        <w:adjustRightInd w:val="0"/>
        <w:snapToGrid w:val="0"/>
        <w:spacing w:line="520" w:lineRule="exact"/>
        <w:ind w:left="0" w:firstLineChars="200" w:firstLine="616"/>
        <w:rPr>
          <w:rFonts w:ascii="仿宋_GB2312" w:eastAsia="仿宋_GB2312" w:cs="仿宋_GB2312" w:hint="eastAsia"/>
          <w:spacing w:val="-6"/>
          <w:sz w:val="32"/>
          <w:szCs w:val="32"/>
          <w:lang w:val="en-US"/>
          <w:highlight w:val="auto"/>
        </w:rPr>
      </w:pPr>
      <w:r>
        <w:rPr>
          <w:rFonts w:ascii="仿宋_GB2312" w:eastAsia="仿宋_GB2312" w:cs="仿宋_GB2312" w:hint="eastAsia"/>
          <w:spacing w:val="-6"/>
          <w:sz w:val="32"/>
          <w:szCs w:val="32"/>
          <w:lang w:val="en-US"/>
          <w:highlight w:val="auto"/>
        </w:rPr>
        <w:t>本项目生石灰、成品由自卸汽车运输进出厂，运输废气采取道路硬化+苫盖+洒水抑尘+洗车装置措施；除尘器设置密闭灰仓，采取袋装等密闭措施收集、存放，除尘灰不得直接卸落到地面；生产车间密闭，转运皮带位于封闭车间内，转运皮带采用封闭长廊封闭；破碎机受料斗三面封闭，上方设置集气罩，组成集气通廊，卸料过程在集气通廊中进行；进料口、出料口上方设集气罩；厂区地面应做到非硬即绿，道路采取定期清扫、洒水等措施；按照《排污单位环境管理台账及排污许可证执行报告技术规范 总则（试行）》要求建立台账，记录无组织排放废气收集系统及其他无组织排放控制措施的主要运行信息，</w:t>
      </w:r>
      <w:r>
        <w:rPr>
          <w:rFonts w:ascii="仿宋_GB2312" w:eastAsia="仿宋_GB2312" w:cs="仿宋_GB2312" w:hint="eastAsia"/>
          <w:spacing w:val="-6"/>
          <w:sz w:val="32"/>
          <w:szCs w:val="32"/>
          <w:lang w:val="en-US" w:bidi="ar-SA"/>
          <w:highlight w:val="auto"/>
        </w:rPr>
        <w:t>通过采取以上措施，厂房外颗粒物浓度满足《石灰、电石工业大气污染物排放标准》（GB 41618-2022）表A.1厂区内颗粒物无组织排放限值，厂界无组织颗粒物浓度满足《石灰行业大气污染物排放标准》（DB13/1641-2012）表3作业场所颗粒物无组织排放限值要求，同时满足《秦皇岛市人民政府办公室关于执行钢铁等行业大气污染物排放特别要求的通知》文件限值</w:t>
      </w:r>
      <w:r>
        <w:rPr>
          <w:rFonts w:ascii="仿宋_GB2312" w:eastAsia="仿宋_GB2312" w:cs="仿宋_GB2312" w:hint="eastAsia"/>
          <w:spacing w:val="-6"/>
          <w:sz w:val="32"/>
          <w:szCs w:val="32"/>
          <w:lang w:val="en-US"/>
          <w:highlight w:val="auto"/>
        </w:rPr>
        <w:t>要求。</w:t>
      </w:r>
    </w:p>
    <w:p>
      <w:pPr>
        <w:keepNext w:val="0"/>
        <w:keepLines w:val="0"/>
        <w:pageBreakBefore w:val="0"/>
        <w:widowControl w:val="0"/>
        <w:kinsoku/>
        <w:wordWrap/>
        <w:overflowPunct/>
        <w:topLinePunct w:val="0"/>
        <w:autoSpaceDE/>
        <w:autoSpaceDN/>
        <w:adjustRightInd w:val="0"/>
        <w:snapToGrid w:val="0"/>
        <w:spacing w:line="520" w:lineRule="exact"/>
        <w:ind w:left="0" w:firstLineChars="200" w:firstLine="616"/>
        <w:rPr>
          <w:rFonts w:ascii="仿宋_GB2312" w:eastAsia="仿宋_GB2312" w:cs="仿宋_GB2312" w:hint="eastAsia"/>
          <w:spacing w:val="-6"/>
          <w:sz w:val="32"/>
          <w:szCs w:val="32"/>
          <w:highlight w:val="auto"/>
        </w:rPr>
      </w:pPr>
      <w:r>
        <w:rPr>
          <w:rFonts w:ascii="仿宋_GB2312" w:eastAsia="仿宋_GB2312" w:cs="仿宋_GB2312" w:hint="eastAsia"/>
          <w:spacing w:val="-6"/>
          <w:sz w:val="32"/>
          <w:szCs w:val="32"/>
          <w:lang w:val="en-US"/>
          <w:highlight w:val="auto"/>
        </w:rPr>
        <w:t>二期工程</w:t>
      </w:r>
    </w:p>
    <w:p>
      <w:pPr>
        <w:keepNext w:val="0"/>
        <w:keepLines w:val="0"/>
        <w:pageBreakBefore w:val="0"/>
        <w:widowControl w:val="0"/>
        <w:kinsoku/>
        <w:wordWrap/>
        <w:overflowPunct/>
        <w:topLinePunct w:val="0"/>
        <w:autoSpaceDE/>
        <w:autoSpaceDN/>
        <w:adjustRightInd w:val="0"/>
        <w:snapToGrid w:val="0"/>
        <w:spacing w:line="520" w:lineRule="exact"/>
        <w:ind w:left="0" w:firstLineChars="200" w:firstLine="616"/>
        <w:rPr>
          <w:rFonts w:ascii="仿宋_GB2312" w:eastAsia="仿宋_GB2312" w:cs="仿宋_GB2312" w:hint="eastAsia"/>
          <w:spacing w:val="-6"/>
          <w:sz w:val="32"/>
          <w:szCs w:val="32"/>
          <w:lang w:val="en-US" w:bidi="ar-SA"/>
          <w:highlight w:val="auto"/>
        </w:rPr>
      </w:pPr>
      <w:r>
        <w:rPr>
          <w:rFonts w:ascii="仿宋_GB2312" w:eastAsia="仿宋_GB2312" w:cs="仿宋_GB2312" w:hint="eastAsia"/>
          <w:spacing w:val="-6"/>
          <w:sz w:val="32"/>
          <w:szCs w:val="32"/>
          <w:lang w:val="en-US" w:bidi="ar-SA"/>
          <w:highlight w:val="auto"/>
        </w:rPr>
        <w:t>本项目二期工程除依托一期工程成品仓外，其他生产设备、工艺、环保措施与一期工程相同</w:t>
      </w:r>
      <w:r>
        <w:rPr>
          <w:rFonts w:ascii="仿宋_GB2312" w:eastAsia="仿宋_GB2312" w:cs="仿宋_GB2312"/>
          <w:spacing w:val="-6"/>
          <w:sz w:val="32"/>
          <w:szCs w:val="32"/>
          <w:lang w:val="en-US" w:bidi="ar-SA"/>
          <w:highlight w:val="auto"/>
        </w:rPr>
        <w:t>。</w:t>
      </w:r>
      <w:r>
        <w:rPr>
          <w:rFonts w:ascii="仿宋_GB2312" w:eastAsia="仿宋_GB2312" w:cs="仿宋_GB2312" w:hint="eastAsia"/>
          <w:spacing w:val="-6"/>
          <w:sz w:val="32"/>
          <w:szCs w:val="32"/>
          <w:lang w:val="en-US" w:bidi="ar-SA"/>
          <w:highlight w:val="auto"/>
        </w:rPr>
        <w:t>二期工程</w:t>
      </w:r>
      <w:r>
        <w:rPr>
          <w:rFonts w:ascii="仿宋_GB2312" w:eastAsia="仿宋_GB2312" w:cs="仿宋_GB2312" w:hint="eastAsia"/>
          <w:spacing w:val="-6"/>
          <w:sz w:val="32"/>
          <w:szCs w:val="32"/>
          <w:lang w:val="en-US"/>
          <w:highlight w:val="auto"/>
        </w:rPr>
        <w:t>废气主要为原料仓废气、破碎机及受料斗废气、消化器废气、干燥过程废气、研磨过程废气、包装过程废气、成品仓废气、天然气热风炉废气</w:t>
      </w:r>
      <w:r>
        <w:rPr>
          <w:rFonts w:ascii="仿宋_GB2312" w:eastAsia="仿宋_GB2312" w:cs="仿宋_GB2312" w:hint="eastAsia"/>
          <w:spacing w:val="-6"/>
          <w:sz w:val="32"/>
          <w:szCs w:val="32"/>
          <w:lang w:val="en-US" w:bidi="ar-SA"/>
          <w:highlight w:val="auto"/>
        </w:rPr>
        <w:t>。</w:t>
      </w:r>
    </w:p>
    <w:p>
      <w:pPr>
        <w:keepNext w:val="0"/>
        <w:keepLines w:val="0"/>
        <w:pageBreakBefore w:val="0"/>
        <w:widowControl w:val="0"/>
        <w:kinsoku/>
        <w:wordWrap/>
        <w:overflowPunct/>
        <w:topLinePunct w:val="0"/>
        <w:autoSpaceDE/>
        <w:autoSpaceDN/>
        <w:adjustRightInd w:val="0"/>
        <w:snapToGrid w:val="0"/>
        <w:spacing w:line="520" w:lineRule="exact"/>
        <w:ind w:left="0" w:firstLineChars="200" w:firstLine="616"/>
        <w:rPr>
          <w:rFonts w:ascii="仿宋_GB2312" w:eastAsia="仿宋_GB2312" w:cs="仿宋_GB2312" w:hint="eastAsia"/>
          <w:spacing w:val="-6"/>
          <w:sz w:val="32"/>
          <w:szCs w:val="32"/>
          <w:lang w:val="en-US"/>
          <w:highlight w:val="auto"/>
        </w:rPr>
      </w:pPr>
      <w:r>
        <w:rPr>
          <w:rFonts w:ascii="仿宋_GB2312" w:eastAsia="仿宋_GB2312" w:cs="仿宋_GB2312" w:hint="eastAsia"/>
          <w:spacing w:val="-6"/>
          <w:sz w:val="32"/>
          <w:szCs w:val="32"/>
          <w:lang w:val="en-US"/>
          <w:highlight w:val="auto"/>
        </w:rPr>
        <w:t>&lt;1&gt;有组织废气</w:t>
      </w:r>
    </w:p>
    <w:p>
      <w:pPr>
        <w:keepNext w:val="0"/>
        <w:keepLines w:val="0"/>
        <w:pageBreakBefore w:val="0"/>
        <w:widowControl w:val="0"/>
        <w:kinsoku/>
        <w:wordWrap/>
        <w:overflowPunct/>
        <w:topLinePunct w:val="0"/>
        <w:autoSpaceDE/>
        <w:autoSpaceDN/>
        <w:adjustRightInd w:val="0"/>
        <w:snapToGrid w:val="0"/>
        <w:spacing w:line="520" w:lineRule="exact"/>
        <w:ind w:left="0" w:firstLineChars="200" w:firstLine="616"/>
        <w:rPr>
          <w:rFonts w:ascii="仿宋_GB2312" w:eastAsia="仿宋_GB2312" w:cs="仿宋_GB2312" w:hint="eastAsia"/>
          <w:bCs/>
          <w:spacing w:val="-6"/>
          <w:sz w:val="32"/>
          <w:szCs w:val="32"/>
          <w:lang w:val="en-US"/>
          <w:highlight w:val="auto"/>
        </w:rPr>
      </w:pPr>
      <w:r>
        <w:rPr>
          <w:rFonts w:ascii="仿宋_GB2312" w:eastAsia="仿宋_GB2312" w:cs="仿宋_GB2312" w:hint="eastAsia"/>
          <w:bCs/>
          <w:spacing w:val="-6"/>
          <w:sz w:val="32"/>
          <w:szCs w:val="32"/>
          <w:lang w:val="en-US"/>
          <w:highlight w:val="auto"/>
        </w:rPr>
        <w:fldChar w:fldCharType="begin"/>
      </w:r>
      <w:r>
        <w:rPr>
          <w:rFonts w:ascii="仿宋_GB2312" w:eastAsia="仿宋_GB2312" w:cs="仿宋_GB2312" w:hint="eastAsia"/>
          <w:bCs/>
          <w:spacing w:val="-6"/>
          <w:sz w:val="32"/>
          <w:szCs w:val="32"/>
          <w:lang w:val="en-US"/>
          <w:highlight w:val="auto"/>
        </w:rPr>
        <w:instrText xml:space="preserve"> = 1 \* GB3 \* MERGEFORMAT </w:instrText>
      </w:r>
      <w:r>
        <w:rPr>
          <w:rFonts w:ascii="仿宋_GB2312" w:eastAsia="仿宋_GB2312" w:cs="仿宋_GB2312" w:hint="eastAsia"/>
          <w:bCs/>
          <w:spacing w:val="-6"/>
          <w:sz w:val="32"/>
          <w:szCs w:val="32"/>
          <w:lang w:val="en-US"/>
          <w:highlight w:val="auto"/>
        </w:rPr>
        <w:fldChar w:fldCharType="separate"/>
      </w:r>
      <w:r>
        <w:rPr>
          <w:rFonts w:ascii="仿宋_GB2312" w:eastAsia="仿宋_GB2312" w:cs="仿宋_GB2312" w:hint="eastAsia"/>
          <w:bCs/>
          <w:spacing w:val="-6"/>
          <w:sz w:val="32"/>
          <w:szCs w:val="32"/>
          <w:lang w:val="en-US"/>
          <w:highlight w:val="auto"/>
        </w:rPr>
        <w:t>①</w:t>
      </w:r>
      <w:r>
        <w:rPr>
          <w:rFonts w:ascii="仿宋_GB2312" w:eastAsia="仿宋_GB2312" w:cs="仿宋_GB2312" w:hint="eastAsia"/>
          <w:bCs/>
          <w:spacing w:val="-6"/>
          <w:sz w:val="32"/>
          <w:szCs w:val="32"/>
          <w:lang w:val="en-US"/>
          <w:highlight w:val="auto"/>
        </w:rPr>
        <w:fldChar w:fldCharType="end"/>
      </w:r>
      <w:r>
        <w:rPr>
          <w:rFonts w:ascii="仿宋_GB2312" w:eastAsia="仿宋_GB2312" w:cs="仿宋_GB2312" w:hint="eastAsia"/>
          <w:spacing w:val="-6"/>
          <w:sz w:val="32"/>
          <w:szCs w:val="32"/>
          <w:lang w:val="en-US"/>
          <w:highlight w:val="auto"/>
        </w:rPr>
        <w:t>原料仓废气</w:t>
      </w:r>
    </w:p>
    <w:p>
      <w:pPr>
        <w:keepNext w:val="0"/>
        <w:keepLines w:val="0"/>
        <w:pageBreakBefore w:val="0"/>
        <w:widowControl w:val="0"/>
        <w:kinsoku/>
        <w:wordWrap/>
        <w:overflowPunct/>
        <w:topLinePunct w:val="0"/>
        <w:autoSpaceDE/>
        <w:autoSpaceDN/>
        <w:adjustRightInd w:val="0"/>
        <w:snapToGrid w:val="0"/>
        <w:spacing w:line="520" w:lineRule="exact"/>
        <w:ind w:left="0" w:firstLineChars="200" w:firstLine="616"/>
        <w:rPr>
          <w:rFonts w:ascii="仿宋_GB2312" w:eastAsia="仿宋_GB2312" w:cs="仿宋_GB2312" w:hint="eastAsia"/>
          <w:bCs/>
          <w:spacing w:val="-6"/>
          <w:sz w:val="32"/>
          <w:szCs w:val="32"/>
          <w:lang w:val="en-US"/>
          <w:highlight w:val="auto"/>
        </w:rPr>
      </w:pPr>
      <w:r>
        <w:rPr>
          <w:rFonts w:ascii="仿宋_GB2312" w:eastAsia="仿宋_GB2312" w:cs="仿宋_GB2312" w:hint="eastAsia"/>
          <w:bCs/>
          <w:spacing w:val="-6"/>
          <w:sz w:val="32"/>
          <w:szCs w:val="32"/>
          <w:lang w:val="en-US"/>
          <w:highlight w:val="auto"/>
        </w:rPr>
        <w:t>原料仓废气通过仓顶设置的1台10#脉冲布袋除尘器进行处理，经1根32m排气筒（P7）排放，</w:t>
      </w:r>
      <w:r>
        <w:rPr>
          <w:rFonts w:ascii="仿宋_GB2312" w:eastAsia="仿宋_GB2312" w:cs="仿宋_GB2312" w:hint="eastAsia"/>
          <w:spacing w:val="-6"/>
          <w:sz w:val="32"/>
          <w:szCs w:val="32"/>
          <w:lang w:val="en-US"/>
          <w:highlight w:val="auto"/>
        </w:rPr>
        <w:t>排放浓度满足《石灰、电石工业大气污染物排放标准》（GB41618-2022）表1大气污染物排放限值（20mg/m</w:t>
      </w:r>
      <w:r>
        <w:rPr>
          <w:rFonts w:ascii="仿宋_GB2312" w:eastAsia="仿宋_GB2312" w:cs="仿宋_GB2312" w:hint="eastAsia"/>
          <w:spacing w:val="-6"/>
          <w:sz w:val="32"/>
          <w:szCs w:val="32"/>
          <w:vertAlign w:val="superscript"/>
          <w:lang w:val="en-US"/>
          <w:highlight w:val="auto"/>
        </w:rPr>
        <w:t>3</w:t>
      </w:r>
      <w:r>
        <w:rPr>
          <w:rFonts w:ascii="仿宋_GB2312" w:eastAsia="仿宋_GB2312" w:cs="仿宋_GB2312" w:hint="eastAsia"/>
          <w:spacing w:val="-6"/>
          <w:sz w:val="32"/>
          <w:szCs w:val="32"/>
          <w:lang w:val="en-US"/>
          <w:highlight w:val="auto"/>
        </w:rPr>
        <w:t>）的要求。</w:t>
      </w:r>
    </w:p>
    <w:p>
      <w:pPr>
        <w:keepNext w:val="0"/>
        <w:keepLines w:val="0"/>
        <w:pageBreakBefore w:val="0"/>
        <w:widowControl w:val="0"/>
        <w:kinsoku/>
        <w:wordWrap/>
        <w:overflowPunct/>
        <w:topLinePunct w:val="0"/>
        <w:autoSpaceDE/>
        <w:autoSpaceDN/>
        <w:adjustRightInd w:val="0"/>
        <w:snapToGrid w:val="0"/>
        <w:spacing w:line="520" w:lineRule="exact"/>
        <w:ind w:left="0" w:firstLineChars="200" w:firstLine="616"/>
        <w:rPr>
          <w:rFonts w:ascii="仿宋_GB2312" w:eastAsia="仿宋_GB2312" w:cs="仿宋_GB2312" w:hint="eastAsia"/>
          <w:bCs/>
          <w:spacing w:val="-6"/>
          <w:sz w:val="32"/>
          <w:szCs w:val="32"/>
          <w:lang w:val="en-US"/>
          <w:highlight w:val="auto"/>
        </w:rPr>
      </w:pPr>
      <w:r>
        <w:rPr>
          <w:rFonts w:ascii="仿宋_GB2312" w:eastAsia="仿宋_GB2312" w:cs="仿宋_GB2312" w:hint="eastAsia"/>
          <w:bCs/>
          <w:spacing w:val="-6"/>
          <w:sz w:val="32"/>
          <w:szCs w:val="32"/>
          <w:lang w:val="en-US"/>
          <w:highlight w:val="auto"/>
        </w:rPr>
        <w:t>②破碎机及受料斗废气</w:t>
      </w:r>
    </w:p>
    <w:p>
      <w:pPr>
        <w:keepNext w:val="0"/>
        <w:keepLines w:val="0"/>
        <w:pageBreakBefore w:val="0"/>
        <w:widowControl w:val="0"/>
        <w:kinsoku/>
        <w:wordWrap/>
        <w:overflowPunct/>
        <w:topLinePunct w:val="0"/>
        <w:autoSpaceDE/>
        <w:autoSpaceDN/>
        <w:adjustRightInd w:val="0"/>
        <w:snapToGrid w:val="0"/>
        <w:spacing w:line="520" w:lineRule="exact"/>
        <w:ind w:left="0" w:firstLineChars="200" w:firstLine="616"/>
        <w:rPr>
          <w:rFonts w:ascii="仿宋_GB2312" w:eastAsia="仿宋_GB2312" w:cs="仿宋_GB2312" w:hint="eastAsia"/>
          <w:bCs/>
          <w:spacing w:val="-6"/>
          <w:sz w:val="32"/>
          <w:szCs w:val="32"/>
          <w:lang w:val="en-US"/>
          <w:highlight w:val="auto"/>
        </w:rPr>
      </w:pPr>
      <w:r>
        <w:rPr>
          <w:rFonts w:ascii="仿宋_GB2312" w:eastAsia="仿宋_GB2312" w:cs="仿宋_GB2312" w:hint="eastAsia"/>
          <w:bCs/>
          <w:spacing w:val="-6"/>
          <w:sz w:val="32"/>
          <w:szCs w:val="32"/>
          <w:lang w:val="en-US"/>
          <w:highlight w:val="auto"/>
        </w:rPr>
        <w:t>破碎机受料斗三面封闭，上方设置集气罩，组成集气通廊，卸料过程在集气通廊中进行；进料口、出料口上方设集气罩，收集的废气经9#脉冲布袋除尘器处理，经公用的1根25m排气筒（P6）排放，</w:t>
      </w:r>
      <w:r>
        <w:rPr>
          <w:rFonts w:ascii="仿宋_GB2312" w:eastAsia="仿宋_GB2312" w:cs="仿宋_GB2312" w:hint="eastAsia"/>
          <w:spacing w:val="-6"/>
          <w:sz w:val="32"/>
          <w:szCs w:val="32"/>
          <w:lang w:val="en-US"/>
          <w:highlight w:val="auto"/>
        </w:rPr>
        <w:t>排放浓度满足《石灰、电石工业大气污染物排放标准》（GB41618-2022）表1大气污染物排放限值（20mg/m</w:t>
      </w:r>
      <w:r>
        <w:rPr>
          <w:rFonts w:ascii="仿宋_GB2312" w:eastAsia="仿宋_GB2312" w:cs="仿宋_GB2312" w:hint="eastAsia"/>
          <w:spacing w:val="-6"/>
          <w:sz w:val="32"/>
          <w:szCs w:val="32"/>
          <w:vertAlign w:val="superscript"/>
          <w:lang w:val="en-US"/>
          <w:highlight w:val="auto"/>
        </w:rPr>
        <w:t>3</w:t>
      </w:r>
      <w:r>
        <w:rPr>
          <w:rFonts w:ascii="仿宋_GB2312" w:eastAsia="仿宋_GB2312" w:cs="仿宋_GB2312" w:hint="eastAsia"/>
          <w:spacing w:val="-6"/>
          <w:sz w:val="32"/>
          <w:szCs w:val="32"/>
          <w:lang w:val="en-US"/>
          <w:highlight w:val="auto"/>
        </w:rPr>
        <w:t>）的要求。</w:t>
      </w:r>
    </w:p>
    <w:p>
      <w:pPr>
        <w:keepNext w:val="0"/>
        <w:keepLines w:val="0"/>
        <w:pageBreakBefore w:val="0"/>
        <w:widowControl w:val="0"/>
        <w:kinsoku/>
        <w:wordWrap/>
        <w:overflowPunct/>
        <w:topLinePunct w:val="0"/>
        <w:autoSpaceDE/>
        <w:autoSpaceDN/>
        <w:adjustRightInd w:val="0"/>
        <w:snapToGrid w:val="0"/>
        <w:spacing w:line="520" w:lineRule="exact"/>
        <w:ind w:left="0" w:firstLineChars="200" w:firstLine="616"/>
        <w:rPr>
          <w:rFonts w:ascii="仿宋_GB2312" w:eastAsia="仿宋_GB2312" w:cs="仿宋_GB2312" w:hint="eastAsia"/>
          <w:bCs/>
          <w:spacing w:val="-6"/>
          <w:sz w:val="32"/>
          <w:szCs w:val="32"/>
          <w:lang w:val="en-US"/>
          <w:highlight w:val="auto"/>
        </w:rPr>
      </w:pPr>
      <w:r>
        <w:rPr>
          <w:rFonts w:ascii="仿宋_GB2312" w:eastAsia="仿宋_GB2312" w:cs="仿宋_GB2312" w:hint="eastAsia"/>
          <w:bCs/>
          <w:spacing w:val="-6"/>
          <w:sz w:val="32"/>
          <w:szCs w:val="32"/>
          <w:lang w:val="en-US"/>
          <w:highlight w:val="auto"/>
        </w:rPr>
        <w:t>③消化器废气</w:t>
      </w:r>
    </w:p>
    <w:p>
      <w:pPr>
        <w:keepNext w:val="0"/>
        <w:keepLines w:val="0"/>
        <w:pageBreakBefore w:val="0"/>
        <w:widowControl w:val="0"/>
        <w:kinsoku/>
        <w:wordWrap/>
        <w:overflowPunct/>
        <w:topLinePunct w:val="0"/>
        <w:autoSpaceDE/>
        <w:autoSpaceDN/>
        <w:adjustRightInd w:val="0"/>
        <w:snapToGrid w:val="0"/>
        <w:spacing w:line="520" w:lineRule="exact"/>
        <w:ind w:left="0" w:firstLineChars="200" w:firstLine="616"/>
        <w:rPr>
          <w:rFonts w:ascii="仿宋_GB2312" w:eastAsia="仿宋_GB2312" w:cs="仿宋_GB2312" w:hint="eastAsia"/>
          <w:bCs/>
          <w:spacing w:val="-6"/>
          <w:sz w:val="32"/>
          <w:szCs w:val="32"/>
          <w:lang w:val="en-US"/>
          <w:highlight w:val="auto"/>
        </w:rPr>
      </w:pPr>
      <w:r>
        <w:rPr>
          <w:rFonts w:ascii="仿宋_GB2312" w:eastAsia="仿宋_GB2312" w:cs="仿宋_GB2312" w:hint="eastAsia"/>
          <w:bCs/>
          <w:spacing w:val="-6"/>
          <w:sz w:val="32"/>
          <w:szCs w:val="32"/>
          <w:lang w:val="en-US"/>
          <w:highlight w:val="auto"/>
        </w:rPr>
        <w:t>消化器、分级机均密闭，一级消化废气经密闭管道收集后进入11#脉冲布袋除尘器处理，二级消化废气经密闭管道收集后进入12#脉冲布袋除尘器处理，经公用的1根25m排气筒（P6）排放，</w:t>
      </w:r>
      <w:r>
        <w:rPr>
          <w:rFonts w:ascii="仿宋_GB2312" w:eastAsia="仿宋_GB2312" w:cs="仿宋_GB2312" w:hint="eastAsia"/>
          <w:spacing w:val="-6"/>
          <w:sz w:val="32"/>
          <w:szCs w:val="32"/>
          <w:lang w:val="en-US"/>
          <w:highlight w:val="auto"/>
        </w:rPr>
        <w:t>排放浓度满足《石灰、电石工业大气污染物排放标准》（GB41618-2022）表1大气污染物排放限值（20mg/m</w:t>
      </w:r>
      <w:r>
        <w:rPr>
          <w:rFonts w:ascii="仿宋_GB2312" w:eastAsia="仿宋_GB2312" w:cs="仿宋_GB2312" w:hint="eastAsia"/>
          <w:spacing w:val="-6"/>
          <w:sz w:val="32"/>
          <w:szCs w:val="32"/>
          <w:vertAlign w:val="superscript"/>
          <w:lang w:val="en-US"/>
          <w:highlight w:val="auto"/>
        </w:rPr>
        <w:t>3</w:t>
      </w:r>
      <w:r>
        <w:rPr>
          <w:rFonts w:ascii="仿宋_GB2312" w:eastAsia="仿宋_GB2312" w:cs="仿宋_GB2312" w:hint="eastAsia"/>
          <w:spacing w:val="-6"/>
          <w:sz w:val="32"/>
          <w:szCs w:val="32"/>
          <w:lang w:val="en-US"/>
          <w:highlight w:val="auto"/>
        </w:rPr>
        <w:t>）的要求。</w:t>
      </w:r>
    </w:p>
    <w:p>
      <w:pPr>
        <w:keepNext w:val="0"/>
        <w:keepLines w:val="0"/>
        <w:pageBreakBefore w:val="0"/>
        <w:widowControl w:val="0"/>
        <w:kinsoku/>
        <w:wordWrap/>
        <w:overflowPunct/>
        <w:topLinePunct w:val="0"/>
        <w:autoSpaceDE/>
        <w:autoSpaceDN/>
        <w:adjustRightInd w:val="0"/>
        <w:snapToGrid w:val="0"/>
        <w:spacing w:line="520" w:lineRule="exact"/>
        <w:ind w:left="0" w:firstLineChars="200" w:firstLine="616"/>
        <w:rPr>
          <w:rFonts w:ascii="仿宋_GB2312" w:eastAsia="仿宋_GB2312" w:cs="仿宋_GB2312" w:hint="eastAsia"/>
          <w:spacing w:val="-6"/>
          <w:sz w:val="32"/>
          <w:szCs w:val="32"/>
          <w:lang w:val="en-US"/>
          <w:highlight w:val="auto"/>
        </w:rPr>
      </w:pPr>
      <w:r>
        <w:rPr>
          <w:rFonts w:ascii="仿宋_GB2312" w:eastAsia="仿宋_GB2312" w:cs="仿宋_GB2312" w:hint="eastAsia"/>
          <w:spacing w:val="-6"/>
          <w:sz w:val="32"/>
          <w:szCs w:val="32"/>
          <w:lang w:val="en-US"/>
          <w:highlight w:val="auto"/>
        </w:rPr>
        <w:t>④干燥废气</w:t>
      </w:r>
    </w:p>
    <w:p>
      <w:pPr>
        <w:keepNext w:val="0"/>
        <w:keepLines w:val="0"/>
        <w:pageBreakBefore w:val="0"/>
        <w:widowControl w:val="0"/>
        <w:kinsoku/>
        <w:wordWrap/>
        <w:overflowPunct/>
        <w:topLinePunct w:val="0"/>
        <w:autoSpaceDE/>
        <w:autoSpaceDN/>
        <w:adjustRightInd w:val="0"/>
        <w:snapToGrid w:val="0"/>
        <w:spacing w:line="520" w:lineRule="exact"/>
        <w:ind w:left="0" w:firstLineChars="200" w:firstLine="616"/>
        <w:rPr>
          <w:rFonts w:ascii="仿宋_GB2312" w:eastAsia="仿宋_GB2312" w:cs="仿宋_GB2312" w:hint="eastAsia"/>
          <w:bCs/>
          <w:spacing w:val="-6"/>
          <w:sz w:val="32"/>
          <w:szCs w:val="32"/>
          <w:lang w:val="en-US"/>
          <w:highlight w:val="auto"/>
        </w:rPr>
      </w:pPr>
      <w:r>
        <w:rPr>
          <w:rFonts w:ascii="仿宋_GB2312" w:eastAsia="仿宋_GB2312" w:cs="仿宋_GB2312" w:hint="eastAsia"/>
          <w:spacing w:val="-6"/>
          <w:sz w:val="32"/>
          <w:szCs w:val="32"/>
          <w:lang w:val="en-US"/>
          <w:highlight w:val="auto"/>
        </w:rPr>
        <w:t>干燥器设置密闭引风管</w:t>
      </w:r>
      <w:r>
        <w:rPr>
          <w:rFonts w:ascii="仿宋_GB2312" w:eastAsia="仿宋_GB2312" w:cs="仿宋_GB2312"/>
          <w:spacing w:val="-6"/>
          <w:sz w:val="32"/>
          <w:szCs w:val="32"/>
          <w:lang w:val="en-US"/>
          <w:highlight w:val="auto"/>
        </w:rPr>
        <w:t>，</w:t>
      </w:r>
      <w:r>
        <w:rPr>
          <w:rFonts w:ascii="仿宋_GB2312" w:eastAsia="仿宋_GB2312" w:cs="仿宋_GB2312" w:hint="eastAsia"/>
          <w:spacing w:val="-6"/>
          <w:sz w:val="32"/>
          <w:szCs w:val="32"/>
          <w:lang w:val="en-US"/>
          <w:highlight w:val="auto"/>
        </w:rPr>
        <w:t>将废气引入13#脉冲布袋除尘器进行处理，</w:t>
      </w:r>
      <w:r>
        <w:rPr>
          <w:rFonts w:ascii="仿宋_GB2312" w:eastAsia="仿宋_GB2312" w:cs="仿宋_GB2312" w:hint="eastAsia"/>
          <w:bCs/>
          <w:spacing w:val="-6"/>
          <w:sz w:val="32"/>
          <w:szCs w:val="32"/>
          <w:lang w:val="en-US"/>
          <w:highlight w:val="auto"/>
        </w:rPr>
        <w:t>经公用的1根25m排气筒（P6）排放，</w:t>
      </w:r>
      <w:r>
        <w:rPr>
          <w:rFonts w:ascii="仿宋_GB2312" w:eastAsia="仿宋_GB2312" w:cs="仿宋_GB2312" w:hint="eastAsia"/>
          <w:spacing w:val="-6"/>
          <w:sz w:val="32"/>
          <w:szCs w:val="32"/>
          <w:lang w:val="en-US"/>
          <w:highlight w:val="auto"/>
        </w:rPr>
        <w:t>排放浓度满足《石灰、电石工业大气污染物排放标准》（GB41618-2022）表1大气污染物排放限值（20mg/m</w:t>
      </w:r>
      <w:r>
        <w:rPr>
          <w:rFonts w:ascii="仿宋_GB2312" w:eastAsia="仿宋_GB2312" w:cs="仿宋_GB2312" w:hint="eastAsia"/>
          <w:spacing w:val="-6"/>
          <w:sz w:val="32"/>
          <w:szCs w:val="32"/>
          <w:vertAlign w:val="superscript"/>
          <w:lang w:val="en-US"/>
          <w:highlight w:val="auto"/>
        </w:rPr>
        <w:t>3</w:t>
      </w:r>
      <w:r>
        <w:rPr>
          <w:rFonts w:ascii="仿宋_GB2312" w:eastAsia="仿宋_GB2312" w:cs="仿宋_GB2312" w:hint="eastAsia"/>
          <w:spacing w:val="-6"/>
          <w:sz w:val="32"/>
          <w:szCs w:val="32"/>
          <w:lang w:val="en-US"/>
          <w:highlight w:val="auto"/>
        </w:rPr>
        <w:t>）的要求。</w:t>
      </w:r>
    </w:p>
    <w:p>
      <w:pPr>
        <w:keepNext w:val="0"/>
        <w:keepLines w:val="0"/>
        <w:pageBreakBefore w:val="0"/>
        <w:widowControl w:val="0"/>
        <w:kinsoku/>
        <w:wordWrap/>
        <w:overflowPunct/>
        <w:topLinePunct w:val="0"/>
        <w:autoSpaceDE/>
        <w:autoSpaceDN/>
        <w:adjustRightInd w:val="0"/>
        <w:snapToGrid w:val="0"/>
        <w:spacing w:line="520" w:lineRule="exact"/>
        <w:ind w:left="0" w:firstLineChars="200" w:firstLine="616"/>
        <w:rPr>
          <w:rFonts w:ascii="仿宋_GB2312" w:eastAsia="仿宋_GB2312" w:cs="仿宋_GB2312" w:hint="eastAsia"/>
          <w:spacing w:val="-6"/>
          <w:sz w:val="32"/>
          <w:szCs w:val="32"/>
          <w:lang w:val="en-US"/>
          <w:highlight w:val="auto"/>
        </w:rPr>
      </w:pPr>
      <w:r>
        <w:rPr>
          <w:rFonts w:ascii="仿宋_GB2312" w:eastAsia="仿宋_GB2312" w:cs="仿宋_GB2312" w:hint="eastAsia"/>
          <w:spacing w:val="-6"/>
          <w:sz w:val="32"/>
          <w:szCs w:val="32"/>
          <w:lang w:val="en-US"/>
          <w:highlight w:val="auto"/>
        </w:rPr>
        <w:t>⑤研磨、包装过程废气</w:t>
      </w:r>
    </w:p>
    <w:p>
      <w:pPr>
        <w:keepNext w:val="0"/>
        <w:keepLines w:val="0"/>
        <w:pageBreakBefore w:val="0"/>
        <w:widowControl w:val="0"/>
        <w:kinsoku/>
        <w:wordWrap/>
        <w:overflowPunct/>
        <w:topLinePunct w:val="0"/>
        <w:autoSpaceDE/>
        <w:autoSpaceDN/>
        <w:adjustRightInd w:val="0"/>
        <w:snapToGrid w:val="0"/>
        <w:spacing w:line="520" w:lineRule="exact"/>
        <w:ind w:left="0" w:firstLineChars="200" w:firstLine="616"/>
        <w:rPr>
          <w:rFonts w:ascii="仿宋_GB2312" w:eastAsia="仿宋_GB2312" w:cs="仿宋_GB2312" w:hint="eastAsia"/>
          <w:spacing w:val="-6"/>
          <w:sz w:val="32"/>
          <w:szCs w:val="32"/>
          <w:lang w:val="en-US"/>
          <w:highlight w:val="auto"/>
        </w:rPr>
      </w:pPr>
      <w:r>
        <w:rPr>
          <w:rFonts w:ascii="仿宋_GB2312" w:eastAsia="仿宋_GB2312" w:cs="仿宋_GB2312" w:hint="eastAsia"/>
          <w:spacing w:val="-6"/>
          <w:sz w:val="32"/>
          <w:szCs w:val="32"/>
          <w:lang w:val="en-US"/>
          <w:highlight w:val="auto"/>
        </w:rPr>
        <w:t>研磨机进料口、出料口上方设集气罩，包装工序采用双套管装置，内部套管下料，外部套管收集废气，将废气集中引入14#脉冲布袋除尘器进行处理，</w:t>
      </w:r>
      <w:r>
        <w:rPr>
          <w:rFonts w:ascii="仿宋_GB2312" w:eastAsia="仿宋_GB2312" w:cs="仿宋_GB2312" w:hint="eastAsia"/>
          <w:bCs/>
          <w:spacing w:val="-6"/>
          <w:sz w:val="32"/>
          <w:szCs w:val="32"/>
          <w:lang w:val="en-US"/>
          <w:highlight w:val="auto"/>
        </w:rPr>
        <w:t>经公用的1根25m排气筒（P6）排放，</w:t>
      </w:r>
      <w:r>
        <w:rPr>
          <w:rFonts w:ascii="仿宋_GB2312" w:eastAsia="仿宋_GB2312" w:cs="仿宋_GB2312" w:hint="eastAsia"/>
          <w:spacing w:val="-6"/>
          <w:sz w:val="32"/>
          <w:szCs w:val="32"/>
          <w:lang w:val="en-US"/>
          <w:highlight w:val="auto"/>
        </w:rPr>
        <w:t>排放浓度满足《石灰、电石工业大气污染物排放标准》（GB41618-2022）表1大气污染物排放限值（20mg/m</w:t>
      </w:r>
      <w:r>
        <w:rPr>
          <w:rFonts w:ascii="仿宋_GB2312" w:eastAsia="仿宋_GB2312" w:cs="仿宋_GB2312" w:hint="eastAsia"/>
          <w:spacing w:val="-6"/>
          <w:sz w:val="32"/>
          <w:szCs w:val="32"/>
          <w:vertAlign w:val="superscript"/>
          <w:lang w:val="en-US"/>
          <w:highlight w:val="auto"/>
        </w:rPr>
        <w:t>3</w:t>
      </w:r>
      <w:r>
        <w:rPr>
          <w:rFonts w:ascii="仿宋_GB2312" w:eastAsia="仿宋_GB2312" w:cs="仿宋_GB2312" w:hint="eastAsia"/>
          <w:spacing w:val="-6"/>
          <w:sz w:val="32"/>
          <w:szCs w:val="32"/>
          <w:lang w:val="en-US"/>
          <w:highlight w:val="auto"/>
        </w:rPr>
        <w:t>）的要求。</w:t>
      </w:r>
    </w:p>
    <w:p>
      <w:pPr>
        <w:keepNext w:val="0"/>
        <w:keepLines w:val="0"/>
        <w:pageBreakBefore w:val="0"/>
        <w:widowControl w:val="0"/>
        <w:kinsoku/>
        <w:wordWrap/>
        <w:overflowPunct/>
        <w:topLinePunct w:val="0"/>
        <w:autoSpaceDE/>
        <w:autoSpaceDN/>
        <w:adjustRightInd w:val="0"/>
        <w:snapToGrid w:val="0"/>
        <w:spacing w:line="520" w:lineRule="exact"/>
        <w:ind w:left="0" w:firstLineChars="200" w:firstLine="616"/>
        <w:rPr>
          <w:rFonts w:ascii="仿宋_GB2312" w:eastAsia="仿宋_GB2312" w:cs="仿宋_GB2312" w:hint="eastAsia"/>
          <w:spacing w:val="-6"/>
          <w:sz w:val="32"/>
          <w:szCs w:val="32"/>
          <w:lang w:val="en-US"/>
          <w:highlight w:val="auto"/>
        </w:rPr>
      </w:pPr>
      <w:r>
        <w:rPr>
          <w:rFonts w:ascii="仿宋_GB2312" w:eastAsia="仿宋_GB2312" w:cs="仿宋_GB2312" w:hint="eastAsia"/>
          <w:spacing w:val="-6"/>
          <w:sz w:val="32"/>
          <w:szCs w:val="32"/>
          <w:lang w:val="en-US"/>
          <w:highlight w:val="auto"/>
        </w:rPr>
        <w:t>⑥天然气热风炉废气</w:t>
      </w:r>
    </w:p>
    <w:p>
      <w:pPr>
        <w:keepNext w:val="0"/>
        <w:keepLines w:val="0"/>
        <w:pageBreakBefore w:val="0"/>
        <w:widowControl w:val="0"/>
        <w:kinsoku/>
        <w:wordWrap/>
        <w:overflowPunct/>
        <w:topLinePunct w:val="0"/>
        <w:autoSpaceDE/>
        <w:autoSpaceDN/>
        <w:adjustRightInd w:val="0"/>
        <w:snapToGrid w:val="0"/>
        <w:spacing w:line="520" w:lineRule="exact"/>
        <w:ind w:left="0" w:firstLineChars="200" w:firstLine="616"/>
        <w:rPr>
          <w:rFonts w:ascii="仿宋_GB2312" w:eastAsia="仿宋_GB2312" w:cs="仿宋_GB2312" w:hint="eastAsia"/>
          <w:bCs/>
          <w:spacing w:val="-6"/>
          <w:sz w:val="32"/>
          <w:szCs w:val="32"/>
          <w:lang w:val="en-US"/>
          <w:highlight w:val="auto"/>
        </w:rPr>
      </w:pPr>
      <w:r>
        <w:rPr>
          <w:rFonts w:ascii="仿宋_GB2312" w:eastAsia="仿宋_GB2312" w:cs="仿宋_GB2312" w:hint="eastAsia"/>
          <w:bCs/>
          <w:spacing w:val="-6"/>
          <w:sz w:val="32"/>
          <w:szCs w:val="32"/>
          <w:lang w:val="en-US"/>
          <w:highlight w:val="auto"/>
        </w:rPr>
        <w:t>热风炉采用天然气作为燃料，设置低氮燃烧器，燃烧废气通过1根25m排气筒（P8）排放，</w:t>
      </w:r>
      <w:r>
        <w:rPr>
          <w:rFonts w:ascii="仿宋_GB2312" w:eastAsia="仿宋_GB2312" w:cs="仿宋_GB2312" w:hint="eastAsia"/>
          <w:spacing w:val="-6"/>
          <w:sz w:val="32"/>
          <w:szCs w:val="32"/>
          <w:lang w:val="en-US"/>
          <w:highlight w:val="auto"/>
        </w:rPr>
        <w:t>排放浓度满足《工业炉窑大气污染物排放标准》（DB13/1640-2012）以及《关于印发&lt;工业炉窑大气污染物综合治理方案&gt;的通知》（环大气[2019]56号）标准要求。</w:t>
      </w:r>
    </w:p>
    <w:p>
      <w:pPr>
        <w:keepNext w:val="0"/>
        <w:keepLines w:val="0"/>
        <w:pageBreakBefore w:val="0"/>
        <w:widowControl w:val="0"/>
        <w:kinsoku/>
        <w:wordWrap/>
        <w:overflowPunct/>
        <w:topLinePunct w:val="0"/>
        <w:autoSpaceDE/>
        <w:autoSpaceDN/>
        <w:adjustRightInd w:val="0"/>
        <w:snapToGrid w:val="0"/>
        <w:spacing w:line="520" w:lineRule="exact"/>
        <w:ind w:left="0" w:firstLineChars="200" w:firstLine="616"/>
        <w:rPr>
          <w:rFonts w:ascii="仿宋_GB2312" w:eastAsia="仿宋_GB2312" w:cs="仿宋_GB2312" w:hint="eastAsia"/>
          <w:spacing w:val="-6"/>
          <w:sz w:val="32"/>
          <w:szCs w:val="32"/>
          <w:lang w:val="en-US"/>
          <w:highlight w:val="auto"/>
        </w:rPr>
      </w:pPr>
      <w:r>
        <w:rPr>
          <w:rFonts w:ascii="仿宋_GB2312" w:eastAsia="仿宋_GB2312" w:cs="仿宋_GB2312" w:hint="eastAsia"/>
          <w:spacing w:val="-6"/>
          <w:sz w:val="32"/>
          <w:szCs w:val="32"/>
          <w:lang w:val="en-US"/>
          <w:highlight w:val="auto"/>
        </w:rPr>
        <w:t>（2）无组织废气</w:t>
      </w:r>
    </w:p>
    <w:p>
      <w:pPr>
        <w:keepNext w:val="0"/>
        <w:keepLines w:val="0"/>
        <w:pageBreakBefore w:val="0"/>
        <w:widowControl w:val="0"/>
        <w:kinsoku/>
        <w:wordWrap/>
        <w:overflowPunct/>
        <w:topLinePunct w:val="0"/>
        <w:autoSpaceDE/>
        <w:autoSpaceDN/>
        <w:adjustRightInd w:val="0"/>
        <w:snapToGrid w:val="0"/>
        <w:spacing w:line="520" w:lineRule="exact"/>
        <w:ind w:left="0" w:firstLineChars="200" w:firstLine="616"/>
        <w:rPr>
          <w:rFonts w:ascii="仿宋_GB2312" w:eastAsia="仿宋_GB2312" w:cs="仿宋_GB2312" w:hint="eastAsia"/>
          <w:spacing w:val="-6"/>
          <w:sz w:val="32"/>
          <w:szCs w:val="32"/>
          <w:lang w:val="en-US"/>
          <w:highlight w:val="auto"/>
        </w:rPr>
      </w:pPr>
      <w:r>
        <w:rPr>
          <w:rFonts w:ascii="仿宋_GB2312" w:eastAsia="仿宋_GB2312" w:cs="仿宋_GB2312" w:hint="eastAsia"/>
          <w:spacing w:val="-6"/>
          <w:sz w:val="32"/>
          <w:szCs w:val="32"/>
          <w:lang w:val="en-US"/>
          <w:highlight w:val="auto"/>
        </w:rPr>
        <w:t>本项目生石灰、成品由自卸汽车运输进出厂，运输废气采取道路硬化+苫盖+洒水抑尘+洗车装置措施；除尘器设置密闭灰仓，采取袋装等密闭措施收集、存放，除尘灰不得直接卸落到地面；生产车间密闭，转运皮带位于封闭车间内，转运皮带采用封闭长廊封闭；破碎机受料斗三面封闭，上方设置集气罩，组成集气通廊，卸料过程在集气通廊中进行；进料口、出料口上方设集气罩；厂区地面应做到非硬即绿，道路采取定期清扫、洒水等措施；按照《排污单位环境管理台账及排污许可证执行报告技术规范总则（试行）》要求建立台账，记录无组织排放废气收集系统及其他无组织排放控制措施的主要运行信息，</w:t>
      </w:r>
      <w:r>
        <w:rPr>
          <w:rFonts w:ascii="仿宋_GB2312" w:eastAsia="仿宋_GB2312" w:cs="仿宋_GB2312" w:hint="eastAsia"/>
          <w:spacing w:val="-6"/>
          <w:sz w:val="32"/>
          <w:szCs w:val="32"/>
          <w:lang w:val="en-US" w:bidi="ar-SA"/>
          <w:highlight w:val="auto"/>
        </w:rPr>
        <w:t>通过采取以上措施，厂房外颗粒物浓度满足《石灰、电石工业大气污染物排放标准》（GB 41618-2022）表A.1厂区内颗粒物无组织排放限值，厂界无组织颗粒物浓度满足《石灰行业大气污染物排放标准》（DB13/1641-2012）表3作业场所颗粒物无组织排放限值要求，同时满足《秦皇岛市人民政府办公室关于执行钢铁等行业大气污染物排放特别要求的通知》文件限值</w:t>
      </w:r>
      <w:r>
        <w:rPr>
          <w:rFonts w:ascii="仿宋_GB2312" w:eastAsia="仿宋_GB2312" w:cs="仿宋_GB2312" w:hint="eastAsia"/>
          <w:spacing w:val="-6"/>
          <w:sz w:val="32"/>
          <w:szCs w:val="32"/>
          <w:lang w:val="en-US"/>
          <w:highlight w:val="auto"/>
        </w:rPr>
        <w:t>要求。</w:t>
      </w:r>
    </w:p>
    <w:p>
      <w:pPr>
        <w:keepNext w:val="0"/>
        <w:keepLines w:val="0"/>
        <w:pageBreakBefore w:val="0"/>
        <w:widowControl w:val="0"/>
        <w:kinsoku/>
        <w:wordWrap/>
        <w:overflowPunct/>
        <w:topLinePunct w:val="0"/>
        <w:autoSpaceDE/>
        <w:autoSpaceDN/>
        <w:adjustRightInd w:val="0"/>
        <w:snapToGrid w:val="0"/>
        <w:spacing w:line="520" w:lineRule="exact"/>
        <w:ind w:left="0" w:firstLineChars="200" w:firstLine="616"/>
        <w:rPr>
          <w:rFonts w:ascii="仿宋_GB2312" w:eastAsia="仿宋_GB2312" w:cs="仿宋_GB2312" w:hint="eastAsia"/>
          <w:spacing w:val="-6"/>
          <w:sz w:val="32"/>
          <w:szCs w:val="32"/>
        </w:rPr>
      </w:pPr>
      <w:r>
        <w:rPr>
          <w:rFonts w:ascii="仿宋_GB2312" w:eastAsia="仿宋_GB2312" w:cs="仿宋_GB2312" w:hint="eastAsia"/>
          <w:spacing w:val="-6"/>
          <w:sz w:val="32"/>
          <w:szCs w:val="32"/>
          <w:lang w:val="en-US"/>
        </w:rPr>
        <w:t>2.</w:t>
      </w:r>
      <w:r>
        <w:rPr>
          <w:rStyle w:val="0"/>
          <w:rFonts w:ascii="仿宋_GB2312" w:eastAsia="仿宋_GB2312" w:cs="仿宋_GB2312" w:hint="eastAsia"/>
          <w:spacing w:val="-6"/>
          <w:sz w:val="32"/>
          <w:szCs w:val="32"/>
        </w:rPr>
        <w:t>严格落实各项废水污染防治措施。</w:t>
      </w:r>
    </w:p>
    <w:p>
      <w:pPr>
        <w:keepNext w:val="0"/>
        <w:keepLines w:val="0"/>
        <w:pageBreakBefore w:val="0"/>
        <w:widowControl w:val="0"/>
        <w:kinsoku/>
        <w:wordWrap/>
        <w:overflowPunct/>
        <w:topLinePunct w:val="0"/>
        <w:autoSpaceDE/>
        <w:autoSpaceDN/>
        <w:adjustRightInd w:val="0"/>
        <w:snapToGrid w:val="0"/>
        <w:spacing w:line="520" w:lineRule="exact"/>
        <w:ind w:left="0" w:firstLineChars="200" w:firstLine="616"/>
        <w:rPr>
          <w:rFonts w:ascii="仿宋_GB2312" w:eastAsia="仿宋_GB2312" w:cs="仿宋_GB2312" w:hint="eastAsia"/>
          <w:spacing w:val="-6"/>
          <w:sz w:val="32"/>
          <w:szCs w:val="32"/>
          <w:highlight w:val="auto"/>
        </w:rPr>
      </w:pPr>
      <w:r>
        <w:rPr>
          <w:rFonts w:ascii="仿宋_GB2312" w:eastAsia="仿宋_GB2312" w:cs="仿宋_GB2312" w:hint="eastAsia"/>
          <w:spacing w:val="-6"/>
          <w:sz w:val="32"/>
          <w:szCs w:val="32"/>
          <w:highlight w:val="auto"/>
        </w:rPr>
        <w:t>一</w:t>
      </w:r>
      <w:r>
        <w:rPr>
          <w:rFonts w:ascii="仿宋_GB2312" w:eastAsia="仿宋_GB2312" w:cs="仿宋_GB2312"/>
          <w:spacing w:val="-6"/>
          <w:sz w:val="32"/>
          <w:szCs w:val="32"/>
          <w:highlight w:val="auto"/>
        </w:rPr>
        <w:t>、</w:t>
      </w:r>
      <w:r>
        <w:rPr>
          <w:rFonts w:ascii="仿宋_GB2312" w:eastAsia="仿宋_GB2312" w:cs="仿宋_GB2312" w:hint="eastAsia"/>
          <w:spacing w:val="-6"/>
          <w:sz w:val="32"/>
          <w:szCs w:val="32"/>
          <w:highlight w:val="auto"/>
        </w:rPr>
        <w:t>二期工程消化反应用水全部进入中间产品，洗车废水沉淀后上清液回用于车辆清洗，无废水外排；生活污水泼洒抑尘。无废水外排。</w:t>
      </w:r>
    </w:p>
    <w:p>
      <w:pPr>
        <w:keepNext w:val="0"/>
        <w:keepLines w:val="0"/>
        <w:pageBreakBefore w:val="0"/>
        <w:widowControl w:val="0"/>
        <w:kinsoku/>
        <w:wordWrap/>
        <w:overflowPunct/>
        <w:topLinePunct w:val="0"/>
        <w:autoSpaceDE/>
        <w:autoSpaceDN/>
        <w:adjustRightInd w:val="0"/>
        <w:snapToGrid w:val="0"/>
        <w:spacing w:line="520" w:lineRule="exact"/>
        <w:ind w:left="0" w:firstLineChars="200" w:firstLine="616"/>
        <w:rPr>
          <w:rFonts w:ascii="仿宋_GB2312" w:eastAsia="仿宋_GB2312" w:cs="仿宋_GB2312" w:hint="eastAsia"/>
          <w:spacing w:val="-6"/>
          <w:sz w:val="32"/>
          <w:szCs w:val="32"/>
        </w:rPr>
      </w:pPr>
      <w:r>
        <w:rPr>
          <w:rFonts w:ascii="仿宋_GB2312" w:eastAsia="仿宋_GB2312" w:cs="仿宋_GB2312" w:hint="eastAsia"/>
          <w:spacing w:val="-6"/>
          <w:sz w:val="32"/>
          <w:szCs w:val="32"/>
          <w:highlight w:val="auto"/>
        </w:rPr>
        <w:t>期工程消化反应用水全部进入中间产品，洗车废水沉淀后上清液回用于车辆清洗，无废水外排；生活污水依托泼洒抑尘。无废水外排。</w:t>
      </w:r>
    </w:p>
    <w:p>
      <w:pPr>
        <w:keepNext w:val="0"/>
        <w:keepLines w:val="0"/>
        <w:pageBreakBefore w:val="0"/>
        <w:widowControl w:val="0"/>
        <w:kinsoku/>
        <w:wordWrap/>
        <w:overflowPunct/>
        <w:topLinePunct w:val="0"/>
        <w:autoSpaceDE/>
        <w:autoSpaceDN/>
        <w:adjustRightInd w:val="0"/>
        <w:snapToGrid w:val="0"/>
        <w:spacing w:line="520" w:lineRule="exact"/>
        <w:ind w:left="0" w:firstLineChars="200" w:firstLine="616"/>
        <w:rPr>
          <w:rFonts w:ascii="仿宋_GB2312" w:eastAsia="仿宋_GB2312" w:cs="仿宋_GB2312" w:hint="eastAsia"/>
          <w:spacing w:val="-6"/>
          <w:sz w:val="32"/>
          <w:szCs w:val="32"/>
        </w:rPr>
      </w:pPr>
      <w:r>
        <w:rPr>
          <w:rFonts w:ascii="仿宋_GB2312" w:eastAsia="仿宋_GB2312" w:cs="仿宋_GB2312" w:hint="eastAsia"/>
          <w:spacing w:val="-6"/>
          <w:sz w:val="32"/>
          <w:szCs w:val="32"/>
        </w:rPr>
        <w:t>3</w:t>
      </w:r>
      <w:r>
        <w:rPr>
          <w:rFonts w:ascii="仿宋_GB2312" w:eastAsia="仿宋_GB2312" w:cs="仿宋_GB2312" w:hint="eastAsia"/>
          <w:spacing w:val="-6"/>
          <w:sz w:val="32"/>
          <w:szCs w:val="32"/>
          <w:lang w:val="en-US"/>
        </w:rPr>
        <w:t>.</w:t>
      </w:r>
      <w:r>
        <w:rPr>
          <w:rFonts w:ascii="仿宋_GB2312" w:eastAsia="仿宋_GB2312" w:cs="仿宋_GB2312" w:hint="eastAsia"/>
          <w:spacing w:val="-6"/>
          <w:sz w:val="32"/>
          <w:szCs w:val="32"/>
        </w:rPr>
        <w:t>严格落实噪声污染防治措施</w:t>
      </w:r>
    </w:p>
    <w:p>
      <w:pPr>
        <w:keepNext w:val="0"/>
        <w:keepLines w:val="0"/>
        <w:pageBreakBefore w:val="0"/>
        <w:widowControl w:val="0"/>
        <w:kinsoku/>
        <w:wordWrap/>
        <w:overflowPunct/>
        <w:topLinePunct w:val="0"/>
        <w:autoSpaceDE/>
        <w:autoSpaceDN/>
        <w:adjustRightInd w:val="0"/>
        <w:snapToGrid w:val="0"/>
        <w:spacing w:line="520" w:lineRule="exact"/>
        <w:ind w:left="0" w:firstLineChars="200" w:firstLine="616"/>
        <w:rPr>
          <w:rFonts w:ascii="仿宋_GB2312" w:eastAsia="仿宋_GB2312" w:cs="仿宋_GB2312" w:hint="eastAsia"/>
          <w:spacing w:val="-6"/>
          <w:sz w:val="32"/>
          <w:szCs w:val="32"/>
          <w:highlight w:val="auto"/>
        </w:rPr>
      </w:pPr>
      <w:r>
        <w:rPr>
          <w:rFonts w:ascii="仿宋_GB2312" w:eastAsia="仿宋_GB2312" w:cs="仿宋_GB2312" w:hint="eastAsia"/>
          <w:spacing w:val="-6"/>
          <w:sz w:val="32"/>
          <w:szCs w:val="32"/>
          <w:lang w:val="en-US"/>
          <w:highlight w:val="auto"/>
        </w:rPr>
        <w:t>一</w:t>
      </w:r>
      <w:r>
        <w:rPr>
          <w:rFonts w:ascii="仿宋_GB2312" w:eastAsia="仿宋_GB2312" w:cs="仿宋_GB2312"/>
          <w:spacing w:val="-6"/>
          <w:sz w:val="32"/>
          <w:szCs w:val="32"/>
          <w:lang w:val="en-US"/>
          <w:highlight w:val="auto"/>
        </w:rPr>
        <w:t>、</w:t>
      </w:r>
      <w:r>
        <w:rPr>
          <w:rFonts w:ascii="仿宋_GB2312" w:eastAsia="仿宋_GB2312" w:cs="仿宋_GB2312" w:hint="eastAsia"/>
          <w:spacing w:val="-6"/>
          <w:sz w:val="32"/>
          <w:szCs w:val="32"/>
          <w:lang w:val="en-US"/>
          <w:highlight w:val="auto"/>
        </w:rPr>
        <w:t>二期工程</w:t>
      </w:r>
      <w:r>
        <w:rPr>
          <w:rFonts w:ascii="仿宋_GB2312" w:eastAsia="仿宋_GB2312" w:cs="仿宋_GB2312" w:hint="eastAsia"/>
          <w:spacing w:val="-6"/>
          <w:sz w:val="32"/>
          <w:szCs w:val="32"/>
          <w:highlight w:val="auto"/>
        </w:rPr>
        <w:t>采用低噪声设备、基础减振、厂房隔声等措施来降低噪声影响，由预测结果可知，采取上述措施后，项目噪声源对四周厂界的噪声贡献值满足《工业企业厂界环境噪声排放标准》（GB12348-2008）中</w:t>
      </w:r>
      <w:r>
        <w:rPr>
          <w:rFonts w:ascii="仿宋_GB2312" w:eastAsia="仿宋_GB2312" w:cs="仿宋_GB2312" w:hint="eastAsia"/>
          <w:spacing w:val="-6"/>
          <w:sz w:val="32"/>
          <w:szCs w:val="32"/>
          <w:lang w:val="en-US"/>
          <w:highlight w:val="auto"/>
        </w:rPr>
        <w:t>3</w:t>
      </w:r>
      <w:r>
        <w:rPr>
          <w:rFonts w:ascii="仿宋_GB2312" w:eastAsia="仿宋_GB2312" w:cs="仿宋_GB2312" w:hint="eastAsia"/>
          <w:spacing w:val="-6"/>
          <w:sz w:val="32"/>
          <w:szCs w:val="32"/>
          <w:highlight w:val="auto"/>
        </w:rPr>
        <w:t>类标准限值要求。</w:t>
      </w:r>
    </w:p>
    <w:p>
      <w:pPr>
        <w:keepNext w:val="0"/>
        <w:keepLines w:val="0"/>
        <w:pageBreakBefore w:val="0"/>
        <w:widowControl w:val="0"/>
        <w:kinsoku/>
        <w:wordWrap/>
        <w:overflowPunct/>
        <w:topLinePunct w:val="0"/>
        <w:autoSpaceDE/>
        <w:autoSpaceDN/>
        <w:adjustRightInd w:val="0"/>
        <w:snapToGrid w:val="0"/>
        <w:spacing w:line="520" w:lineRule="exact"/>
        <w:ind w:left="0" w:firstLineChars="200" w:firstLine="616"/>
        <w:rPr>
          <w:rFonts w:ascii="仿宋_GB2312" w:eastAsia="仿宋_GB2312" w:cs="仿宋_GB2312" w:hint="eastAsia"/>
          <w:spacing w:val="-6"/>
          <w:sz w:val="32"/>
          <w:szCs w:val="32"/>
        </w:rPr>
      </w:pPr>
      <w:r>
        <w:rPr>
          <w:rFonts w:ascii="仿宋_GB2312" w:eastAsia="仿宋_GB2312" w:cs="仿宋_GB2312" w:hint="eastAsia"/>
          <w:spacing w:val="-6"/>
          <w:sz w:val="32"/>
          <w:szCs w:val="32"/>
          <w:lang w:val="en-US"/>
        </w:rPr>
        <w:t>4.</w:t>
      </w:r>
      <w:r>
        <w:rPr>
          <w:rFonts w:ascii="仿宋_GB2312" w:eastAsia="仿宋_GB2312" w:cs="仿宋_GB2312" w:hint="eastAsia"/>
          <w:spacing w:val="-6"/>
          <w:sz w:val="32"/>
          <w:szCs w:val="32"/>
        </w:rPr>
        <w:t>严格落实固体废物污染防治措施</w:t>
      </w:r>
    </w:p>
    <w:p>
      <w:pPr>
        <w:keepNext w:val="0"/>
        <w:keepLines w:val="0"/>
        <w:pageBreakBefore w:val="0"/>
        <w:widowControl w:val="0"/>
        <w:kinsoku/>
        <w:wordWrap/>
        <w:overflowPunct/>
        <w:topLinePunct w:val="0"/>
        <w:autoSpaceDE/>
        <w:autoSpaceDN/>
        <w:adjustRightInd w:val="0"/>
        <w:snapToGrid w:val="0"/>
        <w:spacing w:line="520" w:lineRule="exact"/>
        <w:ind w:left="0" w:firstLineChars="200" w:firstLine="616"/>
        <w:rPr>
          <w:rFonts w:ascii="仿宋_GB2312" w:eastAsia="仿宋_GB2312" w:cs="仿宋_GB2312" w:hint="eastAsia"/>
          <w:spacing w:val="-6"/>
          <w:sz w:val="32"/>
          <w:szCs w:val="32"/>
        </w:rPr>
      </w:pPr>
      <w:r>
        <w:rPr>
          <w:rFonts w:ascii="仿宋_GB2312" w:eastAsia="仿宋_GB2312" w:cs="仿宋_GB2312" w:hint="eastAsia"/>
          <w:spacing w:val="-6"/>
          <w:sz w:val="32"/>
          <w:szCs w:val="32"/>
        </w:rPr>
        <w:t>企业要严格落实固体废物分类处置和综合利用措施，认真落实《报告表》规定的固体废物处理、处置措施。按照“资源化、减量化、无害化”的固废处置原则，实现综合利用。</w:t>
      </w:r>
    </w:p>
    <w:p>
      <w:pPr>
        <w:keepNext w:val="0"/>
        <w:keepLines w:val="0"/>
        <w:pageBreakBefore w:val="0"/>
        <w:widowControl w:val="0"/>
        <w:kinsoku/>
        <w:wordWrap/>
        <w:overflowPunct/>
        <w:topLinePunct w:val="0"/>
        <w:autoSpaceDE/>
        <w:autoSpaceDN/>
        <w:adjustRightInd w:val="0"/>
        <w:snapToGrid w:val="0"/>
        <w:spacing w:line="520" w:lineRule="exact"/>
        <w:ind w:left="0" w:firstLineChars="200" w:firstLine="616"/>
        <w:rPr>
          <w:rFonts w:ascii="仿宋_GB2312" w:eastAsia="仿宋_GB2312" w:cs="仿宋_GB2312" w:hint="eastAsia"/>
          <w:spacing w:val="-6"/>
          <w:sz w:val="32"/>
          <w:szCs w:val="32"/>
          <w:lang w:val="en-US"/>
          <w:highlight w:val="auto"/>
        </w:rPr>
      </w:pPr>
      <w:r>
        <w:rPr>
          <w:rFonts w:ascii="仿宋_GB2312" w:eastAsia="仿宋_GB2312" w:cs="仿宋_GB2312" w:hint="eastAsia"/>
          <w:spacing w:val="-6"/>
          <w:sz w:val="32"/>
          <w:szCs w:val="32"/>
          <w:lang w:val="en-US"/>
          <w:highlight w:val="auto"/>
        </w:rPr>
        <w:t>本项目一</w:t>
      </w:r>
      <w:r>
        <w:rPr>
          <w:rFonts w:ascii="仿宋_GB2312" w:eastAsia="仿宋_GB2312" w:cs="仿宋_GB2312"/>
          <w:spacing w:val="-6"/>
          <w:sz w:val="32"/>
          <w:szCs w:val="32"/>
          <w:lang w:val="en-US"/>
          <w:highlight w:val="auto"/>
        </w:rPr>
        <w:t>、二</w:t>
      </w:r>
      <w:r>
        <w:rPr>
          <w:rFonts w:ascii="仿宋_GB2312" w:eastAsia="仿宋_GB2312" w:cs="仿宋_GB2312" w:hint="eastAsia"/>
          <w:spacing w:val="-6"/>
          <w:sz w:val="32"/>
          <w:szCs w:val="32"/>
          <w:lang w:val="en-US"/>
          <w:highlight w:val="auto"/>
        </w:rPr>
        <w:t>期工程固体废物包括一般固体废物、危险废物和生活垃圾。一般固体废物主要为除尘灰及废布袋、污泥、研磨机废钢球。脉冲布袋除尘器除尘灰回用于生产，废布袋、废钢球外售，职工生活垃圾、洗车沉淀池污泥集中收集后由环卫部门处理。</w:t>
      </w:r>
    </w:p>
    <w:p>
      <w:pPr>
        <w:keepNext w:val="0"/>
        <w:keepLines w:val="0"/>
        <w:pageBreakBefore w:val="0"/>
        <w:widowControl w:val="0"/>
        <w:kinsoku/>
        <w:wordWrap/>
        <w:overflowPunct/>
        <w:topLinePunct w:val="0"/>
        <w:autoSpaceDE/>
        <w:autoSpaceDN/>
        <w:adjustRightInd w:val="0"/>
        <w:snapToGrid w:val="0"/>
        <w:spacing w:line="520" w:lineRule="exact"/>
        <w:ind w:left="0" w:firstLineChars="200" w:firstLine="616"/>
        <w:rPr>
          <w:rFonts w:ascii="仿宋_GB2312" w:eastAsia="仿宋_GB2312" w:cs="仿宋_GB2312" w:hint="eastAsia"/>
          <w:spacing w:val="-6"/>
          <w:sz w:val="32"/>
          <w:szCs w:val="32"/>
          <w:highlight w:val="auto"/>
        </w:rPr>
      </w:pPr>
      <w:r>
        <w:rPr>
          <w:rFonts w:ascii="仿宋_GB2312" w:eastAsia="仿宋_GB2312" w:cs="仿宋_GB2312" w:hint="eastAsia"/>
          <w:spacing w:val="-6"/>
          <w:sz w:val="32"/>
          <w:szCs w:val="32"/>
          <w:lang w:val="en-US"/>
          <w:highlight w:val="auto"/>
        </w:rPr>
        <w:t>该项目一</w:t>
      </w:r>
      <w:r>
        <w:rPr>
          <w:rFonts w:ascii="仿宋_GB2312" w:eastAsia="仿宋_GB2312" w:cs="仿宋_GB2312"/>
          <w:spacing w:val="-6"/>
          <w:sz w:val="32"/>
          <w:szCs w:val="32"/>
          <w:lang w:val="en-US"/>
          <w:highlight w:val="auto"/>
        </w:rPr>
        <w:t>、二</w:t>
      </w:r>
      <w:r>
        <w:rPr>
          <w:rFonts w:ascii="仿宋_GB2312" w:eastAsia="仿宋_GB2312" w:cs="仿宋_GB2312" w:hint="eastAsia"/>
          <w:spacing w:val="-6"/>
          <w:sz w:val="32"/>
          <w:szCs w:val="32"/>
          <w:lang w:val="en-US"/>
          <w:highlight w:val="auto"/>
        </w:rPr>
        <w:t>期产生的废润滑油、废油桶属于危险废物，暂存于厂区危废间，定期交由具有危废处置资质单位处理。一期工程新建1</w:t>
      </w:r>
      <w:r>
        <w:rPr>
          <w:rFonts w:ascii="仿宋_GB2312" w:eastAsia="仿宋_GB2312" w:cs="仿宋_GB2312" w:hint="eastAsia"/>
          <w:spacing w:val="-6"/>
          <w:sz w:val="32"/>
          <w:szCs w:val="32"/>
          <w:highlight w:val="auto"/>
        </w:rPr>
        <w:t>座</w:t>
      </w:r>
      <w:r>
        <w:rPr>
          <w:rFonts w:ascii="仿宋_GB2312" w:eastAsia="仿宋_GB2312" w:cs="仿宋_GB2312" w:hint="eastAsia"/>
          <w:spacing w:val="-6"/>
          <w:sz w:val="32"/>
          <w:szCs w:val="32"/>
          <w:lang w:val="en-US"/>
          <w:highlight w:val="auto"/>
        </w:rPr>
        <w:t>20</w:t>
      </w:r>
      <w:r>
        <w:rPr>
          <w:rFonts w:ascii="仿宋_GB2312" w:eastAsia="仿宋_GB2312" w:cs="仿宋_GB2312" w:hint="eastAsia"/>
          <w:spacing w:val="-6"/>
          <w:sz w:val="32"/>
          <w:szCs w:val="32"/>
          <w:highlight w:val="auto"/>
        </w:rPr>
        <w:t>m</w:t>
      </w:r>
      <w:r>
        <w:rPr>
          <w:rFonts w:ascii="仿宋_GB2312" w:eastAsia="仿宋_GB2312" w:cs="仿宋_GB2312" w:hint="eastAsia"/>
          <w:spacing w:val="-6"/>
          <w:sz w:val="32"/>
          <w:szCs w:val="32"/>
          <w:vertAlign w:val="superscript"/>
          <w:highlight w:val="auto"/>
        </w:rPr>
        <w:t>2</w:t>
      </w:r>
      <w:r>
        <w:rPr>
          <w:rFonts w:ascii="仿宋_GB2312" w:eastAsia="仿宋_GB2312" w:cs="仿宋_GB2312" w:hint="eastAsia"/>
          <w:spacing w:val="-6"/>
          <w:sz w:val="32"/>
          <w:szCs w:val="32"/>
          <w:highlight w:val="auto"/>
        </w:rPr>
        <w:t>危废暂存间，危废间建设满足《危险废物贮存污染控制标准》（GB 18597-20</w:t>
      </w:r>
      <w:r>
        <w:rPr>
          <w:rFonts w:ascii="仿宋_GB2312" w:eastAsia="仿宋_GB2312" w:cs="仿宋_GB2312" w:hint="eastAsia"/>
          <w:spacing w:val="-6"/>
          <w:sz w:val="32"/>
          <w:szCs w:val="32"/>
          <w:lang w:val="en-US"/>
          <w:highlight w:val="auto"/>
        </w:rPr>
        <w:t>23</w:t>
      </w:r>
      <w:r>
        <w:rPr>
          <w:rFonts w:ascii="仿宋_GB2312" w:eastAsia="仿宋_GB2312" w:cs="仿宋_GB2312" w:hint="eastAsia"/>
          <w:spacing w:val="-6"/>
          <w:sz w:val="32"/>
          <w:szCs w:val="32"/>
          <w:highlight w:val="auto"/>
        </w:rPr>
        <w:t>）要求。</w:t>
      </w:r>
    </w:p>
    <w:p>
      <w:pPr>
        <w:keepNext w:val="0"/>
        <w:keepLines w:val="0"/>
        <w:pageBreakBefore w:val="0"/>
        <w:widowControl w:val="0"/>
        <w:kinsoku/>
        <w:wordWrap/>
        <w:overflowPunct/>
        <w:topLinePunct w:val="0"/>
        <w:autoSpaceDE/>
        <w:autoSpaceDN/>
        <w:adjustRightInd w:val="0"/>
        <w:snapToGrid w:val="0"/>
        <w:spacing w:line="520" w:lineRule="exact"/>
        <w:ind w:left="0" w:firstLineChars="200" w:firstLine="616"/>
        <w:rPr>
          <w:rFonts w:ascii="仿宋_GB2312" w:eastAsia="仿宋_GB2312" w:cs="仿宋_GB2312" w:hint="eastAsia"/>
          <w:spacing w:val="-6"/>
          <w:sz w:val="32"/>
          <w:szCs w:val="32"/>
        </w:rPr>
      </w:pPr>
      <w:r>
        <w:rPr>
          <w:rFonts w:ascii="仿宋_GB2312" w:eastAsia="仿宋_GB2312" w:cs="仿宋_GB2312" w:hint="eastAsia"/>
          <w:spacing w:val="-6"/>
          <w:sz w:val="32"/>
          <w:szCs w:val="32"/>
          <w:lang w:val="en-US"/>
        </w:rPr>
        <w:t>5.</w:t>
      </w:r>
      <w:r>
        <w:rPr>
          <w:rFonts w:ascii="仿宋_GB2312" w:eastAsia="仿宋_GB2312" w:cs="仿宋_GB2312" w:hint="eastAsia"/>
          <w:spacing w:val="-6"/>
          <w:sz w:val="32"/>
          <w:szCs w:val="32"/>
        </w:rPr>
        <w:t>认真落实《报告表》其他环境管理要求。</w:t>
      </w:r>
    </w:p>
    <w:p>
      <w:pPr>
        <w:keepNext w:val="0"/>
        <w:keepLines w:val="0"/>
        <w:pageBreakBefore w:val="0"/>
        <w:widowControl w:val="0"/>
        <w:kinsoku/>
        <w:wordWrap/>
        <w:overflowPunct/>
        <w:topLinePunct w:val="0"/>
        <w:autoSpaceDE/>
        <w:autoSpaceDN/>
        <w:adjustRightInd w:val="0"/>
        <w:snapToGrid w:val="0"/>
        <w:spacing w:line="520" w:lineRule="exact"/>
        <w:ind w:left="0" w:firstLineChars="200" w:firstLine="616"/>
        <w:rPr>
          <w:rFonts w:ascii="仿宋_GB2312" w:eastAsia="仿宋_GB2312" w:cs="仿宋_GB2312" w:hint="eastAsia"/>
          <w:spacing w:val="-6"/>
          <w:sz w:val="32"/>
          <w:szCs w:val="32"/>
        </w:rPr>
      </w:pPr>
      <w:r>
        <w:rPr>
          <w:rFonts w:ascii="仿宋_GB2312" w:eastAsia="仿宋_GB2312" w:cs="仿宋_GB2312" w:hint="eastAsia"/>
          <w:spacing w:val="-6"/>
          <w:sz w:val="32"/>
          <w:szCs w:val="32"/>
        </w:rPr>
        <w:t>三、强化环境风险防范和应急措施。制订完善的环境管理、风险管理措施，设施配备齐全，加强相关人员培训。加强风险源管控，严格落实《报告表》中环境风险防范措施，</w:t>
      </w:r>
      <w:r>
        <w:rPr>
          <w:rFonts w:ascii="仿宋_GB2312" w:eastAsia="仿宋_GB2312" w:cs="仿宋_GB2312" w:hint="eastAsia"/>
          <w:spacing w:val="-6"/>
          <w:sz w:val="32"/>
          <w:szCs w:val="32"/>
          <w:lang w:val="en-US"/>
          <w:highlight w:val="auto"/>
        </w:rPr>
        <w:t>本项目存在的主要环境风险为天然气、废润滑油等在储存过程中发生泄漏导致的突发环境事件，风险防控措施主要为：设置可燃气体泄漏报警装置，并设置紧急切断阀。危废间内部设置废润滑油等存放区域，设置铁制托盘，根据《危险废物贮存污染控制标准》（GB18597-2023）设置堵截泄漏的围堰，地面与围堰所围建的容积不低于堵截最大容器的最大储量或总储量的l/5，同时围堰内设置集液池，用于收集泄漏物。危险废物暂存间地面及裙脚做耐腐蚀硬化、防渗漏处理，且表面无裂隙，所使用的材料要与危险废物相容。编制突发环境事件应急预案并备案</w:t>
      </w:r>
      <w:r>
        <w:rPr>
          <w:rFonts w:ascii="仿宋_GB2312" w:eastAsia="仿宋_GB2312" w:cs="仿宋_GB2312" w:hint="eastAsia"/>
          <w:spacing w:val="-6"/>
          <w:sz w:val="32"/>
          <w:szCs w:val="32"/>
        </w:rPr>
        <w:t>，并与当地政府及相关部门应急预案做好衔接，定期进行应急培训和演练，有效防范和应对环境风险。</w:t>
      </w:r>
    </w:p>
    <w:p>
      <w:pPr>
        <w:keepNext w:val="0"/>
        <w:keepLines w:val="0"/>
        <w:pageBreakBefore w:val="0"/>
        <w:widowControl w:val="0"/>
        <w:kinsoku/>
        <w:wordWrap/>
        <w:overflowPunct/>
        <w:topLinePunct w:val="0"/>
        <w:autoSpaceDE/>
        <w:autoSpaceDN/>
        <w:adjustRightInd w:val="0"/>
        <w:snapToGrid w:val="0"/>
        <w:spacing w:line="520" w:lineRule="exact"/>
        <w:ind w:left="0" w:firstLineChars="200" w:firstLine="616"/>
        <w:rPr>
          <w:rFonts w:ascii="仿宋_GB2312" w:eastAsia="仿宋_GB2312" w:cs="仿宋_GB2312" w:hint="eastAsia"/>
          <w:spacing w:val="-6"/>
          <w:sz w:val="32"/>
          <w:szCs w:val="32"/>
          <w:highlight w:val="auto"/>
        </w:rPr>
      </w:pPr>
      <w:r>
        <w:rPr>
          <w:rFonts w:ascii="仿宋_GB2312" w:eastAsia="仿宋_GB2312" w:cs="仿宋_GB2312" w:hint="eastAsia"/>
          <w:spacing w:val="-6"/>
          <w:sz w:val="32"/>
          <w:szCs w:val="32"/>
        </w:rPr>
        <w:t>四、认真落实</w:t>
      </w:r>
      <w:r>
        <w:rPr>
          <w:rFonts w:ascii="仿宋_GB2312" w:eastAsia="仿宋_GB2312" w:cs="仿宋_GB2312" w:hint="eastAsia"/>
          <w:bCs/>
          <w:spacing w:val="-6"/>
          <w:sz w:val="32"/>
          <w:szCs w:val="32"/>
          <w:highlight w:val="auto"/>
        </w:rPr>
        <w:t>环境</w:t>
      </w:r>
      <w:r>
        <w:rPr>
          <w:rFonts w:ascii="仿宋_GB2312" w:eastAsia="仿宋_GB2312" w:cs="仿宋_GB2312" w:hint="eastAsia"/>
          <w:bCs/>
          <w:spacing w:val="-6"/>
          <w:sz w:val="32"/>
          <w:szCs w:val="32"/>
          <w:lang w:val="en-US"/>
          <w:highlight w:val="auto"/>
        </w:rPr>
        <w:t>管理与</w:t>
      </w:r>
      <w:r>
        <w:rPr>
          <w:rFonts w:ascii="仿宋_GB2312" w:eastAsia="仿宋_GB2312" w:cs="仿宋_GB2312" w:hint="eastAsia"/>
          <w:bCs/>
          <w:spacing w:val="-6"/>
          <w:sz w:val="32"/>
          <w:szCs w:val="32"/>
          <w:highlight w:val="auto"/>
        </w:rPr>
        <w:t>监测计划。</w:t>
      </w:r>
      <w:r>
        <w:rPr>
          <w:rFonts w:ascii="仿宋_GB2312" w:eastAsia="仿宋_GB2312" w:cs="仿宋_GB2312" w:hint="eastAsia"/>
          <w:spacing w:val="-6"/>
          <w:sz w:val="32"/>
          <w:szCs w:val="32"/>
        </w:rPr>
        <w:t>按照国家和地方有关规定，建设规范的污染物排放口，设立标志牌。项目实施后，企业须按照国家排污许可有关管理规定及时办理排污许可证。</w:t>
      </w:r>
      <w:r>
        <w:rPr>
          <w:rFonts w:ascii="仿宋_GB2312" w:eastAsia="仿宋_GB2312" w:cs="仿宋_GB2312" w:hint="eastAsia"/>
          <w:spacing w:val="-6"/>
          <w:sz w:val="32"/>
          <w:szCs w:val="32"/>
          <w:highlight w:val="auto"/>
        </w:rPr>
        <w:t>根据污染物排放情况，报告表中的监测计划和工作方案，合理监测项目、监测频次、监测因子、监测时间、监测点位以及相应的技术分析方法符合相关监测规范。</w:t>
      </w:r>
    </w:p>
    <w:p>
      <w:pPr>
        <w:keepNext w:val="0"/>
        <w:keepLines w:val="0"/>
        <w:pageBreakBefore w:val="0"/>
        <w:widowControl w:val="0"/>
        <w:kinsoku/>
        <w:wordWrap/>
        <w:overflowPunct/>
        <w:topLinePunct w:val="0"/>
        <w:autoSpaceDE/>
        <w:autoSpaceDN/>
        <w:adjustRightInd w:val="0"/>
        <w:snapToGrid w:val="0"/>
        <w:spacing w:line="520" w:lineRule="exact"/>
        <w:ind w:left="0" w:firstLineChars="200" w:firstLine="616"/>
        <w:rPr>
          <w:rFonts w:ascii="仿宋_GB2312" w:eastAsia="仿宋_GB2312" w:cs="仿宋_GB2312" w:hint="eastAsia"/>
          <w:spacing w:val="-6"/>
          <w:sz w:val="32"/>
          <w:szCs w:val="32"/>
        </w:rPr>
      </w:pPr>
      <w:r>
        <w:rPr>
          <w:rFonts w:ascii="仿宋_GB2312" w:eastAsia="仿宋_GB2312" w:cs="仿宋_GB2312" w:hint="eastAsia"/>
          <w:spacing w:val="-6"/>
          <w:sz w:val="32"/>
          <w:szCs w:val="32"/>
        </w:rPr>
        <w:t>五、在项目运营过程中，应建立畅通的公众参与平台，及时解决公众关注的环境问题，满足公众合理的环境诉求。定期发布企业环境信息，主动接受社会监督。</w:t>
      </w:r>
    </w:p>
    <w:p>
      <w:pPr>
        <w:keepNext w:val="0"/>
        <w:keepLines w:val="0"/>
        <w:pageBreakBefore w:val="0"/>
        <w:widowControl w:val="0"/>
        <w:kinsoku/>
        <w:wordWrap/>
        <w:overflowPunct/>
        <w:topLinePunct w:val="0"/>
        <w:autoSpaceDE/>
        <w:autoSpaceDN/>
        <w:adjustRightInd w:val="0"/>
        <w:snapToGrid w:val="0"/>
        <w:spacing w:line="520" w:lineRule="exact"/>
        <w:ind w:left="0" w:firstLineChars="200" w:firstLine="616"/>
        <w:rPr>
          <w:rFonts w:ascii="仿宋_GB2312" w:eastAsia="仿宋_GB2312" w:cs="仿宋_GB2312" w:hint="eastAsia"/>
          <w:spacing w:val="-6"/>
          <w:sz w:val="32"/>
          <w:szCs w:val="32"/>
        </w:rPr>
      </w:pPr>
      <w:r>
        <w:rPr>
          <w:rFonts w:ascii="仿宋_GB2312" w:eastAsia="仿宋_GB2312" w:cs="仿宋_GB2312" w:hint="eastAsia"/>
          <w:spacing w:val="-6"/>
          <w:sz w:val="32"/>
          <w:szCs w:val="32"/>
        </w:rPr>
        <w:t>六、本项目建设必须严格执行配套建设的环境保护设施与主体工程同时设计、同时施工、同时投产使用的环境保护“三同时”制度。项目竣工后，按规定开展竣工环境保护验收。验收合格后，项目方可正式投入生产，未经验收或者验收不合格的，不得投入生产或者使用。本项目环境影响评价文件经批准后，如设计和施工变化造成工程性质、规模、工艺、防治污染的措施发生重大变动的，应当在调整前重新报批本项目环境影响评价文件。工程自批复之日起五年后方决定开工建设的，需将环评文件报我局重新审核。</w:t>
      </w:r>
    </w:p>
    <w:p>
      <w:pPr>
        <w:keepNext w:val="0"/>
        <w:keepLines w:val="0"/>
        <w:pageBreakBefore w:val="0"/>
        <w:widowControl w:val="0"/>
        <w:kinsoku/>
        <w:wordWrap/>
        <w:overflowPunct/>
        <w:topLinePunct w:val="0"/>
        <w:autoSpaceDE/>
        <w:autoSpaceDN/>
        <w:adjustRightInd w:val="0"/>
        <w:snapToGrid w:val="0"/>
        <w:spacing w:line="520" w:lineRule="exact"/>
        <w:ind w:left="0" w:firstLineChars="200" w:firstLine="616"/>
        <w:rPr>
          <w:rFonts w:ascii="仿宋_GB2312" w:eastAsia="仿宋_GB2312" w:cs="仿宋_GB2312" w:hint="eastAsia"/>
          <w:spacing w:val="-6"/>
          <w:sz w:val="32"/>
          <w:szCs w:val="32"/>
        </w:rPr>
      </w:pPr>
      <w:r>
        <w:rPr>
          <w:rFonts w:ascii="仿宋_GB2312" w:eastAsia="仿宋_GB2312" w:cs="仿宋_GB2312"/>
          <w:spacing w:val="-6"/>
          <w:sz w:val="32"/>
          <w:szCs w:val="32"/>
        </w:rPr>
        <w:t>七</w:t>
      </w:r>
      <w:r>
        <w:rPr>
          <w:rFonts w:ascii="仿宋_GB2312" w:eastAsia="仿宋_GB2312" w:cs="仿宋_GB2312" w:hint="eastAsia"/>
          <w:spacing w:val="-6"/>
          <w:sz w:val="32"/>
          <w:szCs w:val="32"/>
        </w:rPr>
        <w:t xml:space="preserve">、你单位在接到本批复后的10个工作日内，须将环评报告表及其批复送秦皇岛市生态环境局卢龙县分局、资规局等相关部门，日常监督管理由秦皇岛市生态环境局卢龙县分局负责。建设单位须定期向秦皇岛市生态环境局卢龙县分局报告“三同时”完成情况。并按规定接受各级生态环境行政主管部门的日常监督检查。 </w:t>
      </w:r>
    </w:p>
    <w:p>
      <w:pPr>
        <w:keepNext w:val="0"/>
        <w:keepLines w:val="0"/>
        <w:pageBreakBefore w:val="0"/>
        <w:widowControl w:val="0"/>
        <w:kinsoku/>
        <w:wordWrap/>
        <w:overflowPunct/>
        <w:topLinePunct w:val="0"/>
        <w:autoSpaceDE/>
        <w:autoSpaceDN/>
        <w:adjustRightInd w:val="0"/>
        <w:snapToGrid w:val="0"/>
        <w:spacing w:line="520" w:lineRule="exact"/>
        <w:ind w:left="0"/>
        <w:rPr>
          <w:rFonts w:ascii="仿宋_GB2312" w:eastAsia="仿宋_GB2312" w:cs="仿宋_GB2312" w:hint="eastAsia"/>
          <w:spacing w:val="-6"/>
          <w:sz w:val="32"/>
          <w:szCs w:val="32"/>
        </w:rPr>
      </w:pPr>
    </w:p>
    <w:p>
      <w:pPr>
        <w:keepNext w:val="0"/>
        <w:keepLines w:val="0"/>
        <w:pageBreakBefore w:val="0"/>
        <w:widowControl w:val="0"/>
        <w:kinsoku/>
        <w:wordWrap/>
        <w:overflowPunct/>
        <w:topLinePunct w:val="0"/>
        <w:autoSpaceDE/>
        <w:autoSpaceDN/>
        <w:adjustRightInd w:val="0"/>
        <w:snapToGrid w:val="0"/>
        <w:spacing w:line="520" w:lineRule="exact"/>
        <w:ind w:left="0"/>
        <w:rPr>
          <w:rFonts w:ascii="仿宋_GB2312" w:eastAsia="仿宋_GB2312" w:cs="仿宋_GB2312"/>
          <w:spacing w:val="-6"/>
          <w:sz w:val="32"/>
          <w:szCs w:val="32"/>
        </w:rPr>
      </w:pPr>
      <w:r>
        <w:rPr>
          <w:rFonts w:ascii="仿宋_GB2312" w:eastAsia="仿宋_GB2312" w:cs="仿宋_GB2312" w:hint="eastAsia"/>
          <w:spacing w:val="-6"/>
          <w:sz w:val="32"/>
          <w:szCs w:val="32"/>
        </w:rPr>
        <w:t xml:space="preserve">  </w:t>
      </w:r>
      <w:r>
        <w:rPr>
          <w:rFonts w:ascii="仿宋_GB2312" w:eastAsia="仿宋_GB2312" w:cs="仿宋_GB2312"/>
          <w:spacing w:val="-6"/>
          <w:sz w:val="32"/>
          <w:szCs w:val="32"/>
        </w:rPr>
        <w:t xml:space="preserve">                              </w:t>
      </w:r>
    </w:p>
    <w:p>
      <w:pPr>
        <w:keepNext w:val="0"/>
        <w:keepLines w:val="0"/>
        <w:pageBreakBefore w:val="0"/>
        <w:widowControl w:val="0"/>
        <w:kinsoku/>
        <w:wordWrap/>
        <w:overflowPunct/>
        <w:topLinePunct w:val="0"/>
        <w:autoSpaceDE/>
        <w:autoSpaceDN/>
        <w:adjustRightInd w:val="0"/>
        <w:snapToGrid w:val="0"/>
        <w:spacing w:line="520" w:lineRule="exact"/>
        <w:ind w:left="0" w:firstLineChars="1500" w:firstLine="4620"/>
        <w:rPr>
          <w:rFonts w:ascii="仿宋_GB2312" w:eastAsia="仿宋_GB2312" w:cs="仿宋_GB2312" w:hint="eastAsia"/>
          <w:spacing w:val="-6"/>
          <w:sz w:val="32"/>
          <w:szCs w:val="32"/>
          <w:lang w:val="en-US"/>
        </w:rPr>
      </w:pPr>
      <w:bookmarkStart w:id="0" w:name="_GoBack"/>
      <w:bookmarkEnd w:id="0"/>
      <w:r>
        <w:rPr>
          <w:rFonts w:ascii="仿宋_GB2312" w:eastAsia="仿宋_GB2312" w:cs="仿宋_GB2312" w:hint="eastAsia"/>
          <w:spacing w:val="-6"/>
          <w:sz w:val="32"/>
          <w:szCs w:val="32"/>
        </w:rPr>
        <w:t>秦皇岛市行政审批局</w:t>
      </w:r>
      <w:r>
        <w:rPr>
          <w:rFonts w:ascii="仿宋_GB2312" w:eastAsia="仿宋_GB2312" w:cs="仿宋_GB2312" w:hint="eastAsia"/>
          <w:spacing w:val="-6"/>
          <w:sz w:val="32"/>
          <w:szCs w:val="32"/>
          <w:lang w:val="en-US"/>
        </w:rPr>
        <w:t xml:space="preserve">        </w:t>
      </w:r>
    </w:p>
    <w:p>
      <w:pPr>
        <w:keepNext w:val="0"/>
        <w:keepLines w:val="0"/>
        <w:pageBreakBefore w:val="0"/>
        <w:widowControl w:val="0"/>
        <w:kinsoku/>
        <w:wordWrap/>
        <w:overflowPunct/>
        <w:topLinePunct w:val="0"/>
        <w:autoSpaceDE/>
        <w:autoSpaceDN/>
        <w:adjustRightInd w:val="0"/>
        <w:snapToGrid w:val="0"/>
        <w:spacing w:line="520" w:lineRule="exact"/>
        <w:ind w:left="0"/>
        <w:rPr>
          <w:rFonts w:ascii="仿宋_GB2312" w:eastAsia="仿宋_GB2312" w:cs="仿宋_GB2312" w:hint="eastAsia"/>
          <w:spacing w:val="-6"/>
          <w:sz w:val="32"/>
          <w:szCs w:val="32"/>
          <w:lang w:val="en-US"/>
        </w:rPr>
      </w:pPr>
      <w:r>
        <w:rPr>
          <w:rFonts w:ascii="仿宋_GB2312" w:eastAsia="仿宋_GB2312" w:cs="仿宋_GB2312" w:hint="eastAsia"/>
          <w:spacing w:val="-6"/>
          <w:sz w:val="32"/>
          <w:szCs w:val="32"/>
        </w:rPr>
        <w:t xml:space="preserve">  </w:t>
      </w:r>
      <w:r>
        <w:rPr>
          <w:rFonts w:ascii="仿宋_GB2312" w:eastAsia="仿宋_GB2312" w:cs="仿宋_GB2312"/>
          <w:spacing w:val="-6"/>
          <w:sz w:val="32"/>
          <w:szCs w:val="32"/>
        </w:rPr>
        <w:t xml:space="preserve">                               </w:t>
      </w:r>
      <w:r>
        <w:rPr>
          <w:rFonts w:ascii="仿宋_GB2312" w:eastAsia="仿宋_GB2312" w:cs="仿宋_GB2312" w:hint="eastAsia"/>
          <w:spacing w:val="-6"/>
          <w:sz w:val="32"/>
          <w:szCs w:val="32"/>
        </w:rPr>
        <w:t>2023年</w:t>
      </w:r>
      <w:r>
        <w:rPr>
          <w:rFonts w:ascii="仿宋_GB2312" w:eastAsia="仿宋_GB2312" w:cs="仿宋_GB2312" w:hint="eastAsia"/>
          <w:spacing w:val="-6"/>
          <w:sz w:val="32"/>
          <w:szCs w:val="32"/>
          <w:lang w:val="en-US"/>
        </w:rPr>
        <w:t>9</w:t>
      </w:r>
      <w:r>
        <w:rPr>
          <w:rFonts w:ascii="仿宋_GB2312" w:eastAsia="仿宋_GB2312" w:cs="仿宋_GB2312" w:hint="eastAsia"/>
          <w:spacing w:val="-6"/>
          <w:sz w:val="32"/>
          <w:szCs w:val="32"/>
        </w:rPr>
        <w:t>月</w:t>
      </w:r>
      <w:r>
        <w:rPr>
          <w:rFonts w:ascii="仿宋_GB2312" w:eastAsia="仿宋_GB2312" w:cs="仿宋_GB2312" w:hint="eastAsia"/>
          <w:spacing w:val="-6"/>
          <w:sz w:val="32"/>
          <w:szCs w:val="32"/>
          <w:lang w:val="en-US"/>
        </w:rPr>
        <w:t>11</w:t>
      </w:r>
      <w:r>
        <w:rPr>
          <w:rFonts w:ascii="仿宋_GB2312" w:eastAsia="仿宋_GB2312" w:cs="仿宋_GB2312" w:hint="eastAsia"/>
          <w:spacing w:val="-6"/>
          <w:sz w:val="32"/>
          <w:szCs w:val="32"/>
        </w:rPr>
        <w:t>日</w:t>
      </w:r>
      <w:r>
        <w:rPr>
          <w:rFonts w:ascii="仿宋_GB2312" w:eastAsia="仿宋_GB2312" w:cs="仿宋_GB2312" w:hint="eastAsia"/>
          <w:spacing w:val="-6"/>
          <w:sz w:val="32"/>
          <w:szCs w:val="32"/>
          <w:lang w:val="en-US"/>
        </w:rPr>
        <w:t xml:space="preserve">         </w:t>
      </w:r>
    </w:p>
    <w:sectPr>
      <w:footerReference w:type="default" r:id="rId2"/>
      <w:pgSz w:w="11906" w:h="16838"/>
      <w:pgMar w:top="2098" w:right="1474" w:bottom="1871" w:left="1587" w:header="851" w:footer="992" w:gutter="0"/>
      <w:pgNumType w:fmt="numberInDash"/>
      <w:docGrid w:type="lines" w:linePitch="312" w:charSpace="0"/>
    </w:sectPr>
  </w:body>
</w:document>
</file>

<file path=word/fontTable.xml><?xml version="1.0" encoding="utf-8"?>
<w:fonts xmlns:w="http://schemas.openxmlformats.org/wordprocessingml/2006/main" xmlns:r="http://schemas.openxmlformats.org/officeDocument/2006/relationships">
  <w:font w:name="宋体">
    <w:panose1 w:val="02010600030101010101"/>
    <w:charset w:val="50"/>
    <w:family w:val="auto"/>
    <w:pitch w:val="variable"/>
    <w:sig w:usb0="00000003" w:usb1="288F0000" w:usb2="00000006" w:usb3="00000000" w:csb0="00040001" w:csb1="00000000"/>
  </w:font>
  <w:font w:name="仿宋">
    <w:panose1 w:val="02010609060101010101"/>
    <w:charset w:val="86"/>
    <w:family w:val="modern"/>
    <w:pitch w:val="variable"/>
    <w:sig w:usb0="800002BF" w:usb1="38CF7CFA" w:usb2="00000016" w:usb3="00000000" w:csb0="00040001" w:csb1="00000000"/>
  </w:font>
  <w:font w:name="Times New Roman">
    <w:panose1 w:val="02020603050405020304"/>
    <w:charset w:val="80"/>
    <w:family w:val="auto"/>
    <w:pitch w:val="variable"/>
    <w:sig w:usb0="E0002AFF" w:usb1="C0007841" w:usb2="00000009" w:usb3="00000000" w:csb0="400001FF" w:csb1="FFFF0000"/>
  </w:font>
  <w:font w:name="仿宋_GB2312">
    <w:panose1 w:val="02010609030101010101"/>
    <w:charset w:val="86"/>
    <w:family w:val="auto"/>
    <w:pitch w:val="variable"/>
    <w:sig w:usb0="00000001" w:usb1="080E0000" w:usb2="00000000" w:usb3="00000000" w:csb0="00040000" w:csb1="00000000"/>
  </w:font>
  <w:font w:name="方正小标宋简体">
    <w:altName w:val="微软雅黑"/>
    <w:panose1 w:val="03000509000000000000"/>
    <w:charset w:val="86"/>
    <w:family w:val="auto"/>
    <w:pitch w:val="variable"/>
    <w:sig w:usb0="00000001" w:usb1="080E0000" w:usb2="00000000" w:usb3="00000000" w:csb0="00040000" w:csb1="00000000"/>
  </w:font>
  <w:font w:name="Calibri">
    <w:panose1 w:val="020F0502020204030204"/>
    <w:charset w:val="00"/>
    <w:family w:val="swiss"/>
    <w:pitch w:val="variable"/>
    <w:sig w:usb0="E00002FF" w:usb1="4000ACFF" w:usb2="00000001" w:usb3="00000000" w:csb0="2000019F" w:csb1="00000000"/>
  </w:font>
  <w:font w:name="Arial">
    <w:panose1 w:val="020B0604020202020204"/>
    <w:charset w:val="01"/>
    <w:family w:val="swiss"/>
    <w:pitch w:val="variable"/>
    <w:sig w:usb0="E0002AFF" w:usb1="C0007843" w:usb2="00000009" w:usb3="00000000" w:csb0="400001FF" w:csb1="FFFF0000"/>
  </w:font>
  <w:font w:name="黑体">
    <w:panose1 w:val="02010609060101010101"/>
    <w:charset w:val="86"/>
    <w:family w:val="auto"/>
    <w:pitch w:val="variable"/>
    <w:sig w:usb0="800002BF" w:usb1="38CF7CFA" w:usb2="00000016" w:usb3="00000000" w:csb0="00040001" w:csb1="0000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9"/>
      <w:tabs>
        <w:tab w:val="center" w:pos="4153"/>
        <w:tab w:val="right" w:pos="8306"/>
      </w:tabs>
    </w:pPr>
    <w:r>
      <w:rPr>
        <w:sz w:val="18"/>
      </w:rPr>
      <mc:AlternateContent>
        <mc:Choice Requires="wps">
          <w:drawing>
            <wp:anchor distT="0" distB="0" distL="114298" distR="114298" simplePos="0" relativeHeight="12" behindDoc="0" locked="0" layoutInCell="1" hidden="0" allowOverlap="1">
              <wp:simplePos x="0" y="0"/>
              <wp:positionH relativeFrom="margin">
                <wp:align>outside</wp:align>
              </wp:positionH>
              <wp:positionV relativeFrom="paragraph">
                <wp:posOffset>0</wp:posOffset>
              </wp:positionV>
              <wp:extent cx="533400" cy="230251"/>
              <wp:effectExtent l="0" t="0" r="0" b="0"/>
              <wp:wrapNone/>
              <wp:docPr id="1" name="文本框 1"/>
              <wp:cNvGraphicFramePr>
                <a:graphicFrameLocks noChangeAspect="0"/>
              </wp:cNvGraphicFramePr>
              <a:graphic>
                <a:graphicData uri="http://schemas.microsoft.com/office/word/2010/wordprocessingShape">
                  <wps:wsp>
                    <wps:cNvSpPr/>
                    <wps:spPr>
                      <a:xfrm rot="0">
                        <a:off x="0" y="0"/>
                        <a:ext cx="533400" cy="230251"/>
                      </a:xfrm>
                      <a:prstGeom prst="rect"/>
                      <a:noFill/>
                      <a:ln w="6350" cmpd="sng" cap="flat">
                        <a:noFill/>
                        <a:prstDash val="solid"/>
                        <a:round/>
                      </a:ln>
                    </wps:spPr>
                    <wps:txbx id="2">
                      <w:txbxContent>
                        <w:p>
                          <w:pPr>
                            <w:pStyle w:val="19"/>
                            <w:tabs>
                              <w:tab w:val="center" w:pos="4153"/>
                              <w:tab w:val="right" w:pos="8306"/>
                            </w:tabs>
                            <w:rPr>
                              <w:rFonts w:ascii="宋体" w:eastAsia="宋体" w:cs="宋体" w:hint="eastAsia"/>
                              <w:sz w:val="28"/>
                              <w:szCs w:val="28"/>
                            </w:rPr>
                          </w:pPr>
                          <w:r>
                            <w:rPr>
                              <w:rFonts w:ascii="宋体" w:eastAsia="宋体" w:cs="宋体" w:hint="eastAsia"/>
                              <w:sz w:val="28"/>
                              <w:szCs w:val="28"/>
                            </w:rPr>
                            <w:fldChar w:fldCharType="begin"/>
                          </w:r>
                          <w:r>
                            <w:rPr>
                              <w:rFonts w:ascii="宋体" w:eastAsia="宋体" w:cs="宋体" w:hint="eastAsia"/>
                              <w:sz w:val="28"/>
                              <w:szCs w:val="28"/>
                            </w:rPr>
                            <w:instrText xml:space="preserve"> PAGE  \* MERGEFORMAT </w:instrText>
                          </w:r>
                          <w:r>
                            <w:rPr>
                              <w:rFonts w:ascii="宋体" w:eastAsia="宋体" w:cs="宋体" w:hint="eastAsia"/>
                              <w:sz w:val="28"/>
                              <w:szCs w:val="28"/>
                            </w:rPr>
                            <w:fldChar w:fldCharType="separate"/>
                          </w:r>
                          <w:r>
                            <w:rPr>
                              <w:rFonts w:ascii="宋体" w:eastAsia="宋体" w:cs="宋体" w:hint="eastAsia"/>
                              <w:sz w:val="28"/>
                              <w:szCs w:val="28"/>
                            </w:rPr>
                            <w:t>1</w:t>
                          </w:r>
                          <w:r>
                            <w:rPr>
                              <w:rFonts w:ascii="宋体" w:eastAsia="宋体" w:cs="宋体" w:hint="eastAsia"/>
                              <w:sz w:val="28"/>
                              <w:szCs w:val="28"/>
                            </w:rPr>
                            <w:fldChar w:fldCharType="end"/>
                          </w:r>
                        </w:p>
                      </w:txbxContent>
                    </wps:txbx>
                    <wps:bodyPr vert="horz" wrap="none" lIns="0" tIns="0" rIns="0" bIns="0" anchor="t" anchorCtr="0" upright="0">
                      <a:spAutoFit/>
                    </wps:bodyPr>
                  </wps:wsp>
                </a:graphicData>
              </a:graphic>
            </wp:anchor>
          </w:drawing>
        </mc:Choice>
        <mc:Fallback>
          <w:pict>
            <v:rect type="#_x0000_t1" id="文本框 1 3" o:spid="_x0000_s3" filled="f" stroked="f" strokeweight="0.5pt" style="position:absolute;margin-left:-814.42114pt;margin-top:0.0pt;width:42.0pt;height:18.130003pt;z-index:12;mso-position-horizontal:outside;mso-position-horizontal-relative:margin;mso-position-vertical:absolute;mso-wrap-distance-left:8.999863pt;mso-wrap-distance-right:8.999863pt;mso-wrap-style:none;">
              <v:stroke color="#000000"/>
              <v:textbox id="848" inset="0mm,0mm,0mm,0mm" o:insetmode="custom" style="layout-flow:horizontal;v-text-anchor:top;mso-fit-shape-to-text:t;">
                <w:txbxContent>
                  <w:p>
                    <w:pPr>
                      <w:pStyle w:val="19"/>
                      <w:tabs>
                        <w:tab w:val="center" w:pos="4153"/>
                        <w:tab w:val="right" w:pos="8306"/>
                      </w:tabs>
                      <w:rPr>
                        <w:rFonts w:ascii="宋体" w:eastAsia="宋体" w:cs="宋体" w:hint="eastAsia"/>
                        <w:sz w:val="28"/>
                        <w:szCs w:val="28"/>
                      </w:rPr>
                    </w:pPr>
                    <w:r>
                      <w:rPr>
                        <w:rFonts w:ascii="宋体" w:eastAsia="宋体" w:cs="宋体" w:hint="eastAsia"/>
                        <w:sz w:val="28"/>
                        <w:szCs w:val="28"/>
                      </w:rPr>
                      <w:fldChar w:fldCharType="begin"/>
                    </w:r>
                    <w:r>
                      <w:rPr>
                        <w:rFonts w:ascii="宋体" w:eastAsia="宋体" w:cs="宋体" w:hint="eastAsia"/>
                        <w:sz w:val="28"/>
                        <w:szCs w:val="28"/>
                      </w:rPr>
                      <w:instrText xml:space="preserve"> PAGE  \* MERGEFORMAT </w:instrText>
                    </w:r>
                    <w:r>
                      <w:rPr>
                        <w:rFonts w:ascii="宋体" w:eastAsia="宋体" w:cs="宋体" w:hint="eastAsia"/>
                        <w:sz w:val="28"/>
                        <w:szCs w:val="28"/>
                      </w:rPr>
                      <w:fldChar w:fldCharType="separate"/>
                    </w:r>
                    <w:r>
                      <w:rPr>
                        <w:rFonts w:ascii="宋体" w:eastAsia="宋体" w:cs="宋体" w:hint="eastAsia"/>
                        <w:sz w:val="28"/>
                        <w:szCs w:val="28"/>
                      </w:rPr>
                      <w:t>1</w:t>
                    </w:r>
                    <w:r>
                      <w:rPr>
                        <w:rFonts w:ascii="宋体" w:eastAsia="宋体" w:cs="宋体" w:hint="eastAsia"/>
                        <w:sz w:val="28"/>
                        <w:szCs w:val="28"/>
                      </w:rPr>
                      <w:fldChar w:fldCharType="end"/>
                    </w:r>
                  </w:p>
                </w:txbxContent>
              </v:textbox>
            </v:rect>
          </w:pict>
        </mc:Fallback>
      </mc:AlternateContent>
    </w:r>
  </w:p>
</w:ftr>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84"/>
  <w:bordersDoNotSurroundHeader/>
  <w:bordersDoNotSurroundFooter/>
  <w:documentProtection w:edit="readOnly"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compatSetting w:name="compatibilityMode" w:uri="http://schemas.microsoft.com/office/word" w:val="14"/>
  </w:compat>
  <w:docVars>
    <w:docVar w:name="commondata" w:val="eyJoZGlkIjoiODk3NGVhNzYwN2Y0NDZhZmM5MWZhYzkwNDZjYmJjNmUifQ=="/>
  </w:docVars>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next w:val="15"/>
    <w:pPr>
      <w:widowControl w:val="0"/>
      <w:jc w:val="both"/>
    </w:pPr>
    <w:rPr>
      <w:rFonts w:ascii="Calibri" w:eastAsia="宋体" w:cs="Arial" w:hAnsi="Calibri"/>
      <w:kern w:val="2"/>
      <w:sz w:val="21"/>
      <w:szCs w:val="22"/>
      <w:lang w:val="en-US" w:eastAsia="zh-CN" w:bidi="ar-SA"/>
    </w:rPr>
  </w:style>
  <w:style w:type="paragraph" w:styleId="1">
    <w:name w:val="heading 1"/>
    <w:basedOn w:val="0"/>
    <w:next w:val="0"/>
    <w:pPr>
      <w:keepNext/>
      <w:keepLines/>
      <w:widowControl w:val="0"/>
      <w:spacing w:before="340" w:after="330" w:line="578" w:lineRule="auto"/>
      <w:outlineLvl w:val="0"/>
    </w:pPr>
    <w:rPr>
      <w:b/>
      <w:bCs/>
      <w:kern w:val="44"/>
      <w:sz w:val="44"/>
      <w:szCs w:val="44"/>
    </w:rPr>
  </w:style>
  <w:style w:type="paragraph" w:styleId="2">
    <w:name w:val="heading 2"/>
    <w:basedOn w:val="0"/>
    <w:next w:val="0"/>
    <w:pPr>
      <w:keepNext/>
      <w:keepLines/>
      <w:widowControl w:val="0"/>
      <w:spacing w:before="260" w:after="260" w:line="415" w:lineRule="auto"/>
      <w:outlineLvl w:val="1"/>
    </w:pPr>
    <w:rPr>
      <w:rFonts w:ascii="Times New Roman" w:eastAsia="黑体" w:hAnsi="Times New Roman"/>
      <w:b/>
      <w:bCs/>
      <w:sz w:val="32"/>
      <w:szCs w:val="32"/>
    </w:rPr>
  </w:style>
  <w:style w:type="paragraph" w:styleId="3">
    <w:name w:val="heading 3"/>
    <w:basedOn w:val="0"/>
    <w:next w:val="0"/>
    <w:pPr>
      <w:keepNext/>
      <w:keepLines/>
      <w:widowControl w:val="0"/>
      <w:spacing w:before="260" w:after="260" w:line="415" w:lineRule="auto"/>
      <w:outlineLvl w:val="2"/>
    </w:pPr>
    <w:rPr>
      <w:b/>
      <w:bCs/>
      <w:sz w:val="32"/>
      <w:szCs w:val="32"/>
    </w:rPr>
  </w:style>
  <w:style w:type="character" w:default="1" w:styleId="10">
    <w:name w:val="Default Paragraph Font"/>
  </w:style>
  <w:style w:type="paragraph" w:styleId="15">
    <w:name w:val="Normal Indent"/>
    <w:basedOn w:val="0"/>
    <w:next w:val="16"/>
    <w:pPr>
      <w:adjustRightInd w:val="0"/>
      <w:snapToGrid w:val="0"/>
      <w:spacing w:line="360" w:lineRule="auto"/>
    </w:pPr>
    <w:rPr>
      <w:sz w:val="24"/>
    </w:rPr>
  </w:style>
  <w:style w:type="paragraph" w:styleId="16">
    <w:name w:val="toc 1"/>
    <w:basedOn w:val="0"/>
    <w:next w:val="0"/>
    <w:pPr>
      <w:adjustRightInd w:val="0"/>
      <w:snapToGrid w:val="0"/>
      <w:spacing w:line="280" w:lineRule="exact"/>
      <w:jc w:val="center"/>
    </w:pPr>
    <w:rPr>
      <w:sz w:val="24"/>
      <w:szCs w:val="20"/>
    </w:rPr>
  </w:style>
  <w:style w:type="paragraph" w:styleId="17">
    <w:name w:val="Body Text"/>
    <w:basedOn w:val="0"/>
    <w:next w:val="18"/>
    <w:pPr>
      <w:spacing w:line="240" w:lineRule="atLeast"/>
    </w:pPr>
    <w:rPr>
      <w:sz w:val="28"/>
    </w:rPr>
  </w:style>
  <w:style w:type="paragraph" w:customStyle="1" w:styleId="18">
    <w:name w:val="默认段落"/>
    <w:pPr>
      <w:widowControl w:val="0"/>
      <w:jc w:val="both"/>
    </w:pPr>
    <w:rPr>
      <w:rFonts w:ascii="Calibri" w:eastAsia="宋体" w:cs="Times New Roman" w:hAnsi="Calibri"/>
      <w:kern w:val="2"/>
      <w:sz w:val="21"/>
      <w:szCs w:val="20"/>
      <w:lang w:val="en-US" w:eastAsia="zh-CN" w:bidi="ar-SA"/>
    </w:rPr>
  </w:style>
  <w:style w:type="paragraph" w:styleId="19">
    <w:name w:val="footer"/>
    <w:basedOn w:val="0"/>
    <w:pPr>
      <w:tabs>
        <w:tab w:val="center" w:pos="4153"/>
        <w:tab w:val="right" w:pos="8306"/>
      </w:tabs>
      <w:snapToGrid w:val="0"/>
      <w:jc w:val="left"/>
    </w:pPr>
    <w:rPr>
      <w:sz w:val="18"/>
    </w:rPr>
  </w:style>
  <w:style w:type="paragraph" w:styleId="20">
    <w:name w:val="header"/>
    <w:basedOn w:val="0"/>
    <w:pPr>
      <w:pBdr>
        <w:top w:val="none" w:sz="0" w:space="0" w:color="auto"/>
        <w:left w:val="none" w:sz="0" w:space="0" w:color="auto"/>
        <w:bottom w:val="none" w:sz="0" w:space="0" w:color="auto"/>
        <w:right w:val="none" w:sz="0" w:space="0" w:color="auto"/>
      </w:pBdr>
      <w:tabs>
        <w:tab w:val="center" w:pos="4153"/>
        <w:tab w:val="right" w:pos="8306"/>
      </w:tabs>
      <w:snapToGrid w:val="0"/>
      <w:spacing w:line="240" w:lineRule="auto"/>
      <w:jc w:val="both"/>
      <w:outlineLvl w:val="9"/>
    </w:pPr>
    <w:rPr>
      <w:sz w:val="18"/>
    </w:rPr>
  </w:style>
  <w:style w:type="paragraph" w:styleId="21">
    <w:name w:val="Body Text First Indent"/>
    <w:basedOn w:val="17"/>
    <w:pPr>
      <w:spacing w:after="120"/>
      <w:ind w:firstLineChars="100" w:firstLine="100"/>
    </w:pPr>
    <w:rPr>
      <w:sz w:val="21"/>
      <w:szCs w:val="24"/>
    </w:rPr>
  </w:style>
  <w:style w:type="paragraph" w:customStyle="1" w:styleId="22">
    <w:name w:val="标题 段落4级"/>
    <w:pPr>
      <w:spacing w:line="500" w:lineRule="exact"/>
      <w:outlineLvl w:val="3"/>
    </w:pPr>
    <w:rPr>
      <w:rFonts w:ascii="Times New Roman" w:eastAsia="仿宋_GB2312" w:cs="Calibri" w:hAnsi="Times New Roman"/>
      <w:b/>
      <w:kern w:val="2"/>
      <w:sz w:val="28"/>
      <w:szCs w:val="24"/>
      <w:lang w:val="en-US" w:eastAsia="zh-CN" w:bidi="ar-SA"/>
    </w:rPr>
  </w:style>
  <w:style w:type="paragraph" w:customStyle="1" w:styleId="23">
    <w:name w:val="Default"/>
    <w:basedOn w:val="0"/>
    <w:next w:val="17"/>
    <w:pPr>
      <w:widowControl w:val="0"/>
      <w:autoSpaceDE w:val="0"/>
      <w:autoSpaceDN w:val="0"/>
      <w:adjustRightInd w:val="0"/>
      <w:spacing w:beforeLines="10" w:before="10" w:afterLines="10" w:after="10" w:line="360" w:lineRule="auto"/>
      <w:ind w:firstLineChars="200" w:firstLine="200"/>
      <w:jc w:val="both"/>
    </w:pPr>
    <w:rPr>
      <w:rFonts w:ascii="宋体" w:eastAsia="宋体" w:cs="宋体"/>
      <w:color w:val="000000"/>
      <w:kern w:val="2"/>
      <w:sz w:val="24"/>
      <w:szCs w:val="24"/>
      <w:lang w:val="en-US" w:eastAsia="zh-CN" w:bidi="ar-SA"/>
    </w:rPr>
  </w:style>
  <w:style w:type="character" w:customStyle="1" w:styleId="24">
    <w:name w:val="NormalCharacter"/>
    <w:rPr>
      <w:rFonts w:ascii="Times New Roman" w:eastAsia="宋体" w:hAnsi="Times New Roman"/>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oter" Target="footer1.xml"/><Relationship Id="rId3" Type="http://schemas.openxmlformats.org/officeDocument/2006/relationships/styles" Target="styles.xml"/><Relationship Id="rId4" Type="http://schemas.openxmlformats.org/officeDocument/2006/relationships/fontTable" Target="fontTable.xml"/></Relationships>
</file>

<file path=docProps/app.xml><?xml version="1.0" encoding="utf-8"?>
<Properties xmlns="http://schemas.openxmlformats.org/officeDocument/2006/extended-properties">
  <Template>Normal.eit</Template>
  <TotalTime>401</TotalTime>
  <Application>Yozo_Office27021597764231179</Application>
  <Pages>12</Pages>
  <Words>6571</Words>
  <Characters>7160</Characters>
  <Lines>278</Lines>
  <Paragraphs>70</Paragraphs>
  <CharactersWithSpaces>7255</CharactersWithSpaces>
</Properties>
</file>

<file path=docProps/core.xml><?xml version="1.0" encoding="utf-8"?>
<cp:coreProperties xmlns:cp="http://schemas.openxmlformats.org/package/2006/metadata/core-properties" xmlns:dc="http://purl.org/dc/elements/1.1/" xmlns:dcterms="http://purl.org/dc/terms/" xmlns:xsi="http://www.w3.org/2001/XMLSchema-instance">
  <dc:creator>w's'd</dc:creator>
  <cp:lastModifiedBy>lcz</cp:lastModifiedBy>
  <cp:revision>1</cp:revision>
  <cp:lastPrinted>2022-03-18T06:51:00Z</cp:lastPrinted>
  <dcterms:created xsi:type="dcterms:W3CDTF">2021-03-27T17:03:00Z</dcterms:created>
  <dcterms:modified xsi:type="dcterms:W3CDTF">2023-09-11T00:03:46Z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2052-11.1.0.11691</vt:lpwstr>
  </property>
  <property fmtid="{D5CDD505-2E9C-101B-9397-08002B2CF9AE}" pid="3" name="ICV">
    <vt:lpwstr>4808B83192134C77BEB4E422C6AAA821</vt:lpwstr>
  </property>
</Properties>
</file>