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cs="宋体" w:hAnsi="Times New Roman"/>
          <w:color w:val="000000"/>
          <w:sz w:val="32"/>
          <w:szCs w:val="32"/>
        </w:rPr>
      </w:pPr>
      <w:r>
        <w:rPr>
          <w:rFonts w:ascii="Times New Roman" w:cs="宋体" w:hAnsi="Times New Roman" w:hint="eastAsia"/>
          <w:color w:val="000000"/>
          <w:sz w:val="32"/>
          <w:szCs w:val="32"/>
        </w:rPr>
        <w:t xml:space="preserve"> </w:t>
      </w:r>
    </w:p>
    <w:p>
      <w:pPr>
        <w:wordWrap w:val="0"/>
        <w:spacing w:beforeLines="50" w:before="158" w:line="700" w:lineRule="exact"/>
        <w:jc w:val="right"/>
        <w:rPr>
          <w:rFonts w:ascii="Times New Roman" w:cs="宋体" w:hAnsi="Times New Roman"/>
          <w:color w:val="000000"/>
          <w:sz w:val="32"/>
          <w:szCs w:val="32"/>
        </w:rPr>
      </w:pPr>
      <w:r>
        <w:rPr>
          <w:rFonts w:ascii="Times New Roman" w:eastAsia="仿宋_GB2312" w:cs="仿宋_GB2312" w:hAnsi="Times New Roman" w:hint="eastAsia"/>
          <w:color w:val="000000"/>
          <w:sz w:val="32"/>
          <w:szCs w:val="32"/>
        </w:rPr>
        <w:t>秦审批环准许〔202</w:t>
      </w:r>
      <w:r>
        <w:rPr>
          <w:rFonts w:ascii="Times New Roman" w:eastAsia="仿宋_GB2312" w:cs="仿宋_GB2312" w:hAnsi="Times New Roman"/>
          <w:color w:val="000000"/>
          <w:sz w:val="32"/>
          <w:szCs w:val="32"/>
        </w:rPr>
        <w:t>3</w:t>
      </w:r>
      <w:r>
        <w:rPr>
          <w:rFonts w:ascii="Times New Roman" w:eastAsia="仿宋_GB2312" w:cs="仿宋_GB2312" w:hAnsi="Times New Roman" w:hint="eastAsia"/>
          <w:color w:val="000000"/>
          <w:sz w:val="32"/>
          <w:szCs w:val="32"/>
        </w:rPr>
        <w:t>〕0</w:t>
      </w:r>
      <w:r>
        <w:rPr>
          <w:rFonts w:ascii="Times New Roman" w:eastAsia="仿宋_GB2312" w:cs="仿宋_GB2312" w:hAnsi="Times New Roman"/>
          <w:color w:val="000000"/>
          <w:sz w:val="32"/>
          <w:szCs w:val="32"/>
          <w:lang w:val="en-US" w:eastAsia="zh-CN"/>
        </w:rPr>
        <w:t>1</w:t>
      </w:r>
      <w:r>
        <w:rPr>
          <w:rFonts w:ascii="Times New Roman" w:eastAsia="仿宋_GB2312" w:cs="仿宋_GB2312" w:hAnsi="Times New Roman" w:hint="eastAsia"/>
          <w:color w:val="000000"/>
          <w:sz w:val="32"/>
          <w:szCs w:val="32"/>
        </w:rPr>
        <w:t>-00</w:t>
      </w:r>
      <w:r>
        <w:rPr>
          <w:rFonts w:ascii="Times New Roman" w:eastAsia="仿宋_GB2312" w:cs="仿宋_GB2312" w:hAnsi="Times New Roman"/>
          <w:color w:val="000000"/>
          <w:sz w:val="32"/>
          <w:szCs w:val="32"/>
          <w:lang w:val="en-US" w:eastAsia="zh-CN"/>
        </w:rPr>
        <w:t>04</w:t>
      </w:r>
      <w:r>
        <w:rPr>
          <w:rFonts w:ascii="Times New Roman" w:eastAsia="仿宋_GB2312" w:cs="仿宋_GB2312" w:hAnsi="Times New Roman" w:hint="eastAsia"/>
          <w:color w:val="000000"/>
          <w:sz w:val="32"/>
          <w:szCs w:val="32"/>
        </w:rPr>
        <w:t>号</w:t>
      </w:r>
      <w:r>
        <w:rPr>
          <w:rFonts w:ascii="Times New Roman" w:eastAsia="仿宋_GB2312" w:cs="仿宋_GB2312" w:hAnsi="Times New Roman"/>
          <w:color w:val="000000"/>
          <w:sz w:val="32"/>
          <w:szCs w:val="32"/>
        </w:rPr>
        <w:t xml:space="preserve"> </w:t>
      </w:r>
    </w:p>
    <w:p>
      <w:pPr>
        <w:spacing w:line="560" w:lineRule="exact"/>
        <w:jc w:val="center"/>
        <w:rPr>
          <w:rFonts w:ascii="宋体" w:cs="宋体"/>
          <w:b/>
          <w:bCs/>
          <w:color w:val="000000"/>
          <w:spacing w:val="-16"/>
          <w:kern w:val="0"/>
          <w:sz w:val="44"/>
          <w:szCs w:val="44"/>
          <w:shd w:val="clear" w:color="auto" w:fill="FFFFFF"/>
          <w:lang w:val="en-US" w:eastAsia="zh-CN"/>
        </w:rPr>
      </w:pPr>
      <w:r>
        <w:rPr>
          <w:rFonts w:ascii="宋体" w:cs="宋体" w:hint="eastAsia"/>
          <w:b/>
          <w:bCs/>
          <w:color w:val="000000"/>
          <w:spacing w:val="-16"/>
          <w:kern w:val="0"/>
          <w:sz w:val="44"/>
          <w:szCs w:val="44"/>
          <w:shd w:val="clear" w:color="auto" w:fill="FFFFFF"/>
          <w:lang w:val="en-US" w:eastAsia="zh-CN"/>
        </w:rPr>
        <w:t>关于</w:t>
      </w:r>
      <w:r>
        <w:rPr>
          <w:rFonts w:ascii="宋体" w:cs="宋体" w:hint="eastAsia"/>
          <w:b/>
          <w:bCs/>
          <w:color w:val="000000"/>
          <w:spacing w:val="-16"/>
          <w:sz w:val="44"/>
          <w:szCs w:val="44"/>
          <w:shd w:val="clear" w:color="auto" w:fill="FFFFFF"/>
          <w:lang w:eastAsia="zh-CN"/>
          <w:highlight w:val="auto"/>
        </w:rPr>
        <w:t>国家管网集团北方管道有限责任公司秦皇岛输油气分公司</w:t>
      </w:r>
      <w:r>
        <w:rPr>
          <w:rFonts w:ascii="宋体" w:cs="宋体" w:hint="eastAsia"/>
          <w:b/>
          <w:bCs/>
          <w:color w:val="000000"/>
          <w:spacing w:val="-16"/>
          <w:kern w:val="0"/>
          <w:sz w:val="44"/>
          <w:szCs w:val="44"/>
          <w:shd w:val="clear" w:color="auto" w:fill="FFFFFF"/>
          <w:lang w:val="en-US" w:eastAsia="zh-CN"/>
        </w:rPr>
        <w:t>《</w:t>
      </w:r>
      <w:r>
        <w:rPr>
          <w:rFonts w:ascii="宋体" w:cs="宋体" w:hint="eastAsia"/>
          <w:b/>
          <w:bCs/>
          <w:color w:val="000000"/>
          <w:spacing w:val="-16"/>
          <w:sz w:val="44"/>
          <w:szCs w:val="44"/>
          <w:shd w:val="clear" w:color="auto" w:fill="FFFFFF"/>
          <w:lang w:eastAsia="zh-CN"/>
          <w:highlight w:val="auto"/>
        </w:rPr>
        <w:t>秦沈线山海关区段与京秦高速遵化至秦皇岛段交叉管道迁改工程</w:t>
      </w:r>
      <w:r>
        <w:rPr>
          <w:rFonts w:ascii="宋体" w:cs="宋体" w:hint="eastAsia"/>
          <w:b/>
          <w:bCs/>
          <w:color w:val="000000"/>
          <w:spacing w:val="-16"/>
          <w:kern w:val="0"/>
          <w:sz w:val="44"/>
          <w:szCs w:val="44"/>
          <w:shd w:val="clear" w:color="auto" w:fill="FFFFFF"/>
          <w:lang w:val="en-US" w:eastAsia="zh-CN"/>
        </w:rPr>
        <w:t>环境影响报告书》的</w:t>
      </w:r>
    </w:p>
    <w:p>
      <w:pPr>
        <w:spacing w:line="560" w:lineRule="exact"/>
        <w:jc w:val="center"/>
        <w:rPr>
          <w:rFonts w:ascii="宋体" w:cs="宋体" w:hint="eastAsia"/>
          <w:b/>
          <w:bCs/>
          <w:color w:val="000000"/>
          <w:spacing w:val="-16"/>
          <w:kern w:val="0"/>
          <w:sz w:val="44"/>
          <w:szCs w:val="44"/>
          <w:shd w:val="clear" w:color="auto" w:fill="FFFFFF"/>
          <w:lang w:val="en-US" w:eastAsia="zh-CN"/>
        </w:rPr>
      </w:pPr>
      <w:r>
        <w:rPr>
          <w:rFonts w:ascii="宋体" w:cs="宋体" w:hint="eastAsia"/>
          <w:b/>
          <w:bCs/>
          <w:color w:val="000000"/>
          <w:spacing w:val="-16"/>
          <w:kern w:val="0"/>
          <w:sz w:val="44"/>
          <w:szCs w:val="44"/>
          <w:shd w:val="clear" w:color="auto" w:fill="FFFFFF"/>
          <w:lang w:val="en-US" w:eastAsia="zh-CN"/>
        </w:rPr>
        <w:t>批</w:t>
      </w:r>
      <w:r>
        <w:rPr>
          <w:rFonts w:ascii="宋体" w:cs="宋体"/>
          <w:b/>
          <w:bCs/>
          <w:color w:val="000000"/>
          <w:spacing w:val="-16"/>
          <w:kern w:val="0"/>
          <w:sz w:val="44"/>
          <w:szCs w:val="44"/>
          <w:shd w:val="clear" w:color="auto" w:fill="FFFFFF"/>
          <w:lang w:val="en-US" w:eastAsia="zh-CN"/>
        </w:rPr>
        <w:t xml:space="preserve">  </w:t>
      </w:r>
      <w:r>
        <w:rPr>
          <w:rFonts w:ascii="宋体" w:cs="宋体" w:hint="eastAsia"/>
          <w:b/>
          <w:bCs/>
          <w:color w:val="000000"/>
          <w:spacing w:val="-16"/>
          <w:kern w:val="0"/>
          <w:sz w:val="44"/>
          <w:szCs w:val="44"/>
          <w:shd w:val="clear" w:color="auto" w:fill="FFFFFF"/>
          <w:lang w:val="en-US" w:eastAsia="zh-CN"/>
        </w:rPr>
        <w:t>复</w:t>
      </w:r>
    </w:p>
    <w:p>
      <w:pPr>
        <w:spacing w:line="560" w:lineRule="exact"/>
        <w:jc w:val="center"/>
        <w:rPr>
          <w:rFonts w:ascii="Times New Roman" w:eastAsia="仿宋_GB2312" w:cs="仿宋_GB2312" w:hAnsi="Times New Roman"/>
          <w:color w:val="000000"/>
          <w:kern w:val="0"/>
          <w:sz w:val="32"/>
          <w:szCs w:val="32"/>
          <w:shd w:val="clear" w:color="auto" w:fill="FFFFFF"/>
        </w:rPr>
      </w:pP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5" behindDoc="0" locked="0" layoutInCell="0" hidden="1" allowOverlap="1">
                <wp:simplePos x="0" y="0"/>
                <wp:positionH relativeFrom="page">
                  <wp:posOffset>735965</wp:posOffset>
                </wp:positionH>
                <wp:positionV relativeFrom="page">
                  <wp:posOffset>9937115</wp:posOffset>
                </wp:positionV>
                <wp:extent cx="6083935" cy="951"/>
                <wp:effectExtent l="0" t="0" r="0" b="0"/>
                <wp:wrapTopAndBottom/>
                <wp:docPr id="7" name="直接连接符 3" hidden="1"/>
                <wp:cNvGraphicFramePr>
                  <a:graphicFrameLocks noChangeAspect="0"/>
                </wp:cNvGraphicFramePr>
                <a:graphic>
                  <a:graphicData uri="http://schemas.microsoft.com/office/word/2010/wordprocessingShape">
                    <wps:wsp>
                      <wps:cNvSpPr/>
                      <wps:spPr>
                        <a:xfrm rot="0">
                          <a:off x="0" y="0"/>
                          <a:ext cx="6083935" cy="951"/>
                        </a:xfrm>
                        <a:prstGeom prst="line"/>
                        <a:noFill/>
                        <a:ln w="69850" cmpd="thinThick"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3 8" o:spid="_x0000_s8" from="57.95pt,782.45pt" to="537.0pt,782.5249pt" filled="f" stroked="t" strokeweight="5.5pt" o:allowincell="f" style="position:absolute;z-index:15;mso-position-horizontal:absolute;mso-position-horizontal-relative:page;mso-position-vertical:absolute;mso-position-vertical-relative:page;mso-wrap-distance-left:8.999863pt;mso-wrap-distance-right:8.999863pt;visibility:hidden;">
                <v:stroke linestyle="thinThick" color="#FF0000"/>
                <w10:wrap type="topAndBottom"/>
              </v:line>
            </w:pict>
          </mc:Fallback>
        </mc:AlternateContent>
      </w:r>
      <w:r>
        <w:rPr>
          <w:rFonts w:ascii="Times New Roman" w:eastAsia="方正小标宋简体" w:cs="方正小标宋简体" w:hAnsi="Times New Roman" w:hint="eastAsia"/>
          <w:color w:val="000000"/>
          <w:sz w:val="44"/>
          <w:szCs w:val="44"/>
        </w:rPr>
        <mc:AlternateContent>
          <mc:Choice Requires="wps">
            <w:drawing>
              <wp:anchor distT="0" distB="0" distL="114298" distR="114298" simplePos="0" relativeHeight="17" behindDoc="0" locked="0" layoutInCell="0" hidden="1" allowOverlap="1">
                <wp:simplePos x="0" y="0"/>
                <wp:positionH relativeFrom="column">
                  <wp:posOffset>-274955</wp:posOffset>
                </wp:positionH>
                <wp:positionV relativeFrom="margin">
                  <wp:posOffset>445770</wp:posOffset>
                </wp:positionV>
                <wp:extent cx="6083935" cy="952"/>
                <wp:effectExtent l="0" t="0" r="0" b="0"/>
                <wp:wrapTopAndBottom/>
                <wp:docPr id="9" name="直接连接符 4" hidden="1"/>
                <wp:cNvGraphicFramePr>
                  <a:graphicFrameLocks noChangeAspect="0"/>
                </wp:cNvGraphicFramePr>
                <a:graphic>
                  <a:graphicData uri="http://schemas.microsoft.com/office/word/2010/wordprocessingShape">
                    <wps:wsp>
                      <wps:cNvSpPr/>
                      <wps:spPr>
                        <a:xfrm rot="0">
                          <a:off x="0" y="0"/>
                          <a:ext cx="6083935" cy="952"/>
                        </a:xfrm>
                        <a:prstGeom prst="line"/>
                        <a:noFill/>
                        <a:ln w="69850" cmpd="thickThin" cap="flat">
                          <a:solidFill>
                            <a:srgbClr val="FF0000"/>
                          </a:solidFill>
                          <a:prstDash val="solid"/>
                          <a:round/>
                        </a:ln>
                      </wps:spPr>
                      <wps:bodyPr vert="horz" wrap="square" lIns="91440" tIns="45720" rIns="91440" bIns="45720" anchor="t" anchorCtr="0" upright="1">
                        <a:noAutofit/>
                      </wps:bodyPr>
                    </wps:wsp>
                  </a:graphicData>
                </a:graphic>
              </wp:anchor>
            </w:drawing>
          </mc:Choice>
          <mc:Fallback>
            <w:pict>
              <v:line type="#_x0000_t20" id="直接连接符 4 10" o:spid="_x0000_s10" from="-21.65pt,35.1pt" to="457.40002pt,35.17499pt" filled="f" stroked="t" strokeweight="5.5pt" o:allowincell="f" style="position:absolute;z-index:17;mso-position-horizontal:absolute;mso-position-vertical:absolute;mso-position-vertical-relative:margin;mso-wrap-distance-left:8.999863pt;mso-wrap-distance-right:8.999863pt;visibility:hidden;">
                <v:stroke linestyle="thickThin" color="#FF0000"/>
                <w10:wrap type="topAndBottom"/>
              </v:line>
            </w:pict>
          </mc:Fallback>
        </mc:AlternateContent>
      </w:r>
      <w:r>
        <w:rPr>
          <w:rFonts w:ascii="Times New Roman" w:eastAsia="仿宋_GB2312" w:cs="仿宋_GB2312" w:hAnsi="Times New Roman"/>
          <w:color w:val="000000"/>
          <w:kern w:val="0"/>
          <w:sz w:val="32"/>
          <w:szCs w:val="32"/>
          <w:shd w:val="clear" w:color="auto" w:fill="FFFFFF"/>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sz w:val="32"/>
          <w:szCs w:val="32"/>
          <w:shd w:val="clear" w:color="auto" w:fill="FFFFFF"/>
          <w:lang w:eastAsia="zh-CN"/>
          <w:highlight w:val="auto"/>
        </w:rPr>
        <w:t>国家管网集团北方管道有限责任公司秦皇岛输油气分公司</w:t>
      </w:r>
      <w:r>
        <w:rPr>
          <w:rFonts w:ascii="仿宋_GB2312" w:eastAsia="仿宋_GB2312" w:cs="仿宋_GB2312" w:hint="eastAsia"/>
          <w:color w:val="000000"/>
          <w:kern w:val="0"/>
          <w:sz w:val="32"/>
          <w:szCs w:val="32"/>
          <w:shd w:val="clear" w:color="auto" w:fill="FFFFFF"/>
        </w:rPr>
        <w:t>：</w:t>
      </w:r>
    </w:p>
    <w:p>
      <w:pPr>
        <w:keepNext w:val="0"/>
        <w:keepLines w:val="0"/>
        <w:pageBreakBefore w:val="0"/>
        <w:widowControl w:val="0"/>
        <w:suppressLineNumbers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kern w:val="0"/>
          <w:sz w:val="32"/>
          <w:szCs w:val="32"/>
          <w:shd w:val="clear" w:color="auto" w:fill="FFFFFF"/>
        </w:rPr>
      </w:pPr>
      <w:r>
        <w:rPr>
          <w:rFonts w:ascii="仿宋_GB2312" w:eastAsia="仿宋_GB2312" w:cs="仿宋_GB2312" w:hint="eastAsia"/>
          <w:color w:val="000000"/>
          <w:kern w:val="0"/>
          <w:sz w:val="32"/>
          <w:szCs w:val="32"/>
          <w:shd w:val="clear" w:color="auto" w:fill="FFFFFF"/>
        </w:rPr>
        <w:t>所报《</w:t>
      </w:r>
      <w:r>
        <w:rPr>
          <w:rFonts w:ascii="仿宋_GB2312" w:eastAsia="仿宋_GB2312" w:cs="仿宋_GB2312" w:hint="eastAsia"/>
          <w:color w:val="000000"/>
          <w:sz w:val="32"/>
          <w:szCs w:val="32"/>
          <w:shd w:val="clear" w:color="auto" w:fill="FFFFFF"/>
          <w:lang w:eastAsia="zh-CN"/>
          <w:highlight w:val="auto"/>
        </w:rPr>
        <w:t>秦沈线山海关区段与京秦高速遵化至秦皇岛段交叉管道迁改工程</w:t>
      </w:r>
      <w:r>
        <w:rPr>
          <w:rFonts w:ascii="仿宋_GB2312" w:eastAsia="仿宋_GB2312" w:cs="仿宋_GB2312" w:hint="eastAsia"/>
          <w:color w:val="000000"/>
          <w:kern w:val="0"/>
          <w:sz w:val="32"/>
          <w:szCs w:val="32"/>
          <w:shd w:val="clear" w:color="auto" w:fill="FFFFFF"/>
        </w:rPr>
        <w:t>环境影响报告</w:t>
      </w:r>
      <w:r>
        <w:rPr>
          <w:rFonts w:ascii="仿宋_GB2312" w:eastAsia="仿宋_GB2312" w:cs="仿宋_GB2312" w:hint="eastAsia"/>
          <w:color w:val="000000"/>
          <w:kern w:val="0"/>
          <w:sz w:val="32"/>
          <w:szCs w:val="32"/>
          <w:shd w:val="clear" w:color="auto" w:fill="FFFFFF"/>
          <w:lang w:eastAsia="zh-CN"/>
        </w:rPr>
        <w:t>书</w:t>
      </w:r>
      <w:r>
        <w:rPr>
          <w:rFonts w:ascii="仿宋_GB2312" w:eastAsia="仿宋_GB2312" w:cs="仿宋_GB2312" w:hint="eastAsia"/>
          <w:color w:val="000000"/>
          <w:kern w:val="0"/>
          <w:sz w:val="32"/>
          <w:szCs w:val="32"/>
          <w:shd w:val="clear" w:color="auto" w:fill="FFFFFF"/>
        </w:rPr>
        <w:t>》(以下简称《报告书》)及相关申报材料收悉</w:t>
      </w:r>
      <w:r>
        <w:rPr>
          <w:rFonts w:ascii="仿宋_GB2312" w:eastAsia="仿宋_GB2312" w:cs="仿宋_GB2312" w:hint="eastAsia"/>
          <w:color w:val="000000"/>
          <w:kern w:val="0"/>
          <w:sz w:val="32"/>
          <w:szCs w:val="32"/>
          <w:shd w:val="clear" w:color="auto" w:fill="FFFFFF"/>
          <w:lang w:eastAsia="zh-CN"/>
        </w:rPr>
        <w:t>，</w:t>
      </w:r>
      <w:r>
        <w:rPr>
          <w:rFonts w:ascii="仿宋_GB2312" w:eastAsia="仿宋_GB2312" w:cs="仿宋_GB2312" w:hint="eastAsia"/>
          <w:color w:val="000000"/>
          <w:kern w:val="0"/>
          <w:sz w:val="32"/>
          <w:szCs w:val="32"/>
          <w:shd w:val="clear" w:color="auto" w:fill="FFFFFF"/>
        </w:rPr>
        <w:t>根据《</w:t>
      </w:r>
      <w:r>
        <w:rPr>
          <w:rFonts w:ascii="仿宋_GB2312" w:eastAsia="仿宋_GB2312" w:cs="仿宋_GB2312" w:hint="eastAsia"/>
          <w:color w:val="000000"/>
          <w:sz w:val="32"/>
          <w:szCs w:val="32"/>
          <w:shd w:val="clear" w:color="auto" w:fill="FFFFFF"/>
          <w:lang w:eastAsia="zh-CN"/>
          <w:highlight w:val="auto"/>
        </w:rPr>
        <w:t>国家管网集团北方管道有限责任公司秦皇岛输油气分公司秦沈线山海关区段与京秦高速遵化至秦皇岛段交叉管道迁改工程环境影响报告书</w:t>
      </w:r>
      <w:r>
        <w:rPr>
          <w:rFonts w:ascii="仿宋_GB2312" w:eastAsia="仿宋_GB2312" w:cs="仿宋_GB2312" w:hint="eastAsia"/>
          <w:color w:val="000000"/>
          <w:sz w:val="32"/>
          <w:szCs w:val="32"/>
          <w:shd w:val="clear" w:color="auto" w:fill="FFFFFF"/>
          <w:highlight w:val="auto"/>
        </w:rPr>
        <w:t>技术评估意见</w:t>
      </w:r>
      <w:r>
        <w:rPr>
          <w:rFonts w:ascii="仿宋_GB2312" w:eastAsia="仿宋_GB2312" w:cs="仿宋_GB2312" w:hint="eastAsia"/>
          <w:color w:val="000000"/>
          <w:kern w:val="0"/>
          <w:sz w:val="32"/>
          <w:szCs w:val="32"/>
          <w:shd w:val="clear" w:color="auto" w:fill="FFFFFF"/>
        </w:rPr>
        <w:t>》（</w:t>
      </w:r>
      <w:r>
        <w:rPr>
          <w:rFonts w:ascii="仿宋_GB2312" w:eastAsia="仿宋_GB2312" w:cs="仿宋_GB2312" w:hint="eastAsia"/>
          <w:color w:val="000000"/>
          <w:sz w:val="32"/>
          <w:szCs w:val="32"/>
          <w:shd w:val="clear" w:color="auto" w:fill="FFFFFF"/>
          <w:highlight w:val="auto"/>
        </w:rPr>
        <w:t>绿秦环评［202</w:t>
      </w:r>
      <w:r>
        <w:rPr>
          <w:rFonts w:ascii="仿宋_GB2312" w:eastAsia="仿宋_GB2312" w:cs="仿宋_GB2312" w:hint="eastAsia"/>
          <w:color w:val="000000"/>
          <w:sz w:val="32"/>
          <w:szCs w:val="32"/>
          <w:shd w:val="clear" w:color="auto" w:fill="FFFFFF"/>
          <w:lang w:val="en-US" w:eastAsia="zh-CN"/>
          <w:highlight w:val="auto"/>
        </w:rPr>
        <w:t>3</w:t>
      </w:r>
      <w:r>
        <w:rPr>
          <w:rFonts w:ascii="仿宋_GB2312" w:eastAsia="仿宋_GB2312" w:cs="仿宋_GB2312" w:hint="eastAsia"/>
          <w:color w:val="000000"/>
          <w:sz w:val="32"/>
          <w:szCs w:val="32"/>
          <w:shd w:val="clear" w:color="auto" w:fill="FFFFFF"/>
          <w:highlight w:val="auto"/>
        </w:rPr>
        <w:t>］00</w:t>
      </w:r>
      <w:r>
        <w:rPr>
          <w:rFonts w:ascii="仿宋_GB2312" w:eastAsia="仿宋_GB2312" w:cs="仿宋_GB2312" w:hint="eastAsia"/>
          <w:color w:val="000000"/>
          <w:sz w:val="32"/>
          <w:szCs w:val="32"/>
          <w:shd w:val="clear" w:color="auto" w:fill="FFFFFF"/>
          <w:lang w:val="en-US" w:eastAsia="zh-CN"/>
          <w:highlight w:val="auto"/>
        </w:rPr>
        <w:t>5</w:t>
      </w:r>
      <w:r>
        <w:rPr>
          <w:rFonts w:ascii="仿宋_GB2312" w:eastAsia="仿宋_GB2312" w:cs="仿宋_GB2312" w:hint="eastAsia"/>
          <w:color w:val="000000"/>
          <w:sz w:val="32"/>
          <w:szCs w:val="32"/>
          <w:shd w:val="clear" w:color="auto" w:fill="FFFFFF"/>
          <w:highlight w:val="auto"/>
        </w:rPr>
        <w:t>号</w:t>
      </w:r>
      <w:r>
        <w:rPr>
          <w:rFonts w:ascii="仿宋_GB2312" w:eastAsia="仿宋_GB2312" w:cs="仿宋_GB2312" w:hint="eastAsia"/>
          <w:color w:val="000000"/>
          <w:kern w:val="0"/>
          <w:sz w:val="32"/>
          <w:szCs w:val="32"/>
          <w:shd w:val="clear" w:color="auto" w:fill="FFFFFF"/>
        </w:rPr>
        <w:t>），经研究，现批复如下：</w:t>
      </w:r>
    </w:p>
    <w:p>
      <w:pPr>
        <w:keepNext w:val="0"/>
        <w:keepLines w:val="0"/>
        <w:pageBreakBefore w:val="0"/>
        <w:widowControl w:val="0"/>
        <w:suppressLineNumbers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z w:val="32"/>
          <w:szCs w:val="32"/>
          <w:shd w:val="clear" w:color="auto" w:fill="FFFFFF"/>
          <w:highlight w:val="auto"/>
        </w:rPr>
      </w:pPr>
      <w:r>
        <w:rPr>
          <w:rFonts w:ascii="仿宋_GB2312" w:eastAsia="仿宋_GB2312" w:cs="仿宋_GB2312" w:hint="eastAsia"/>
          <w:color w:val="000000"/>
          <w:spacing w:val="0"/>
          <w:kern w:val="0"/>
          <w:sz w:val="32"/>
          <w:szCs w:val="32"/>
          <w:shd w:val="clear" w:color="auto" w:fill="FFFFFF"/>
        </w:rPr>
        <w:t>一、项目主要建设内容和总体要求。</w:t>
      </w:r>
      <w:r>
        <w:rPr>
          <w:rFonts w:ascii="仿宋_GB2312" w:eastAsia="仿宋_GB2312" w:cs="仿宋_GB2312" w:hint="eastAsia"/>
          <w:color w:val="000000"/>
          <w:sz w:val="32"/>
          <w:szCs w:val="32"/>
          <w:shd w:val="clear" w:color="auto" w:fill="FFFFFF"/>
          <w:highlight w:val="auto"/>
        </w:rPr>
        <w:t>本项目</w:t>
      </w:r>
      <w:r>
        <w:rPr>
          <w:rFonts w:ascii="仿宋_GB2312" w:eastAsia="仿宋_GB2312" w:cs="Times New Roman" w:hint="eastAsia"/>
          <w:color w:val="000000"/>
          <w:sz w:val="32"/>
          <w:szCs w:val="32"/>
          <w:highlight w:val="auto"/>
        </w:rPr>
        <w:t>改线起点位于原秦沈线管道K013+345m处，管道自起点向东南方向敷设约181m，以顶管方式穿越现状京哈高速公路，管道与京哈高速公路交叉角度为71°；之后转向东敷设约862m穿越水塘一处；再转向东北方向敷设约1107m以开挖加盖板涵方式穿越拟建京秦高速公路，管道与拟建京秦高速公路交叉角度为85°；管道继续向前敷设在原管道里程K015+490m处与原管线相接。本项目建设内容不涉及阀室和分输站等设施，施工不涉及穿越高压线，不穿越地表建构筑物，无拆迁工程。</w:t>
      </w:r>
      <w:r>
        <w:rPr>
          <w:rFonts w:ascii="仿宋_GB2312" w:eastAsia="仿宋_GB2312" w:cs="仿宋_GB2312" w:hint="eastAsia"/>
          <w:color w:val="000000"/>
          <w:spacing w:val="0"/>
          <w:kern w:val="0"/>
          <w:sz w:val="32"/>
          <w:szCs w:val="32"/>
          <w:shd w:val="clear" w:color="auto" w:fill="FFFFFF"/>
          <w:lang w:eastAsia="zh-CN"/>
        </w:rPr>
        <w:t>项目总投资为</w:t>
      </w:r>
      <w:r>
        <w:rPr>
          <w:rFonts w:ascii="仿宋_GB2312" w:eastAsia="仿宋_GB2312" w:cs="Times New Roman" w:hint="eastAsia"/>
          <w:color w:val="000000"/>
          <w:sz w:val="32"/>
          <w:szCs w:val="32"/>
          <w:lang w:val="en-US" w:eastAsia="zh-CN"/>
          <w:highlight w:val="auto"/>
        </w:rPr>
        <w:t>6004.86</w:t>
      </w:r>
      <w:r>
        <w:rPr>
          <w:rFonts w:ascii="仿宋_GB2312" w:eastAsia="仿宋_GB2312" w:cs="Times New Roman" w:hint="eastAsia"/>
          <w:color w:val="000000"/>
          <w:sz w:val="32"/>
          <w:szCs w:val="32"/>
          <w:highlight w:val="auto"/>
        </w:rPr>
        <w:t>万元，</w:t>
      </w:r>
      <w:r>
        <w:rPr>
          <w:rFonts w:ascii="仿宋_GB2312" w:eastAsia="仿宋_GB2312" w:cs="仿宋_GB2312" w:hint="eastAsia"/>
          <w:color w:val="000000"/>
          <w:kern w:val="0"/>
          <w:sz w:val="32"/>
          <w:szCs w:val="32"/>
          <w:shd w:val="clear" w:color="auto" w:fill="FFFFFF"/>
          <w:lang w:eastAsia="zh-CN"/>
        </w:rPr>
        <w:t>其中环保投资</w:t>
      </w:r>
      <w:r>
        <w:rPr>
          <w:rFonts w:ascii="仿宋_GB2312" w:eastAsia="仿宋_GB2312" w:cs="Times New Roman" w:hint="eastAsia"/>
          <w:color w:val="000000"/>
          <w:sz w:val="32"/>
          <w:szCs w:val="32"/>
          <w:lang w:val="en-US" w:eastAsia="zh-CN"/>
          <w:highlight w:val="auto"/>
        </w:rPr>
        <w:t>115</w:t>
      </w:r>
      <w:r>
        <w:rPr>
          <w:rFonts w:ascii="仿宋_GB2312" w:eastAsia="仿宋_GB2312" w:cs="Times New Roman" w:hint="eastAsia"/>
          <w:color w:val="000000"/>
          <w:sz w:val="32"/>
          <w:szCs w:val="32"/>
          <w:highlight w:val="auto"/>
        </w:rPr>
        <w:t>万元，</w:t>
      </w:r>
      <w:r>
        <w:rPr>
          <w:rFonts w:ascii="仿宋_GB2312" w:eastAsia="仿宋_GB2312" w:cs="仿宋_GB2312" w:hint="eastAsia"/>
          <w:color w:val="000000"/>
          <w:kern w:val="0"/>
          <w:sz w:val="32"/>
          <w:szCs w:val="32"/>
          <w:lang w:val="en-US" w:eastAsia="zh-CN"/>
        </w:rPr>
        <w:t>占项目总投资比例为</w:t>
      </w:r>
      <w:r>
        <w:rPr>
          <w:rFonts w:ascii="仿宋_GB2312" w:eastAsia="仿宋_GB2312" w:cs="仿宋_GB2312" w:hint="eastAsia"/>
          <w:color w:val="000000"/>
          <w:sz w:val="32"/>
          <w:szCs w:val="32"/>
          <w:lang w:val="en-US" w:eastAsia="zh-CN"/>
          <w:highlight w:val="auto"/>
        </w:rPr>
        <w:t>1.92</w:t>
      </w:r>
      <w:r>
        <w:rPr>
          <w:rFonts w:ascii="仿宋_GB2312" w:eastAsia="仿宋_GB2312" w:cs="仿宋_GB2312" w:hint="eastAsia"/>
          <w:color w:val="000000"/>
          <w:sz w:val="32"/>
          <w:szCs w:val="32"/>
          <w:highlight w:val="auto"/>
        </w:rPr>
        <w:t>%。</w:t>
      </w:r>
      <w:r>
        <w:rPr>
          <w:rFonts w:ascii="仿宋_GB2312" w:eastAsia="仿宋_GB2312" w:cs="仿宋_GB2312" w:hint="eastAsia"/>
          <w:color w:val="000000"/>
          <w:kern w:val="0"/>
          <w:sz w:val="32"/>
          <w:szCs w:val="32"/>
          <w:shd w:val="clear" w:color="auto" w:fill="FFFFFF"/>
          <w:lang w:eastAsia="zh-CN"/>
        </w:rPr>
        <w:t>项目须符合国家及地方产业政策。</w:t>
      </w:r>
      <w:r>
        <w:rPr>
          <w:rFonts w:ascii="仿宋_GB2312" w:eastAsia="仿宋_GB2312" w:cs="仿宋_GB2312" w:hint="eastAsia"/>
          <w:color w:val="000000"/>
          <w:kern w:val="0"/>
          <w:sz w:val="32"/>
          <w:szCs w:val="32"/>
          <w:shd w:val="clear" w:color="auto" w:fill="FFFFFF"/>
        </w:rPr>
        <w:t>项目实施须符</w:t>
      </w:r>
      <w:r>
        <w:rPr>
          <w:rFonts w:ascii="仿宋_GB2312" w:eastAsia="仿宋_GB2312" w:cs="仿宋_GB2312" w:hint="eastAsia"/>
          <w:color w:val="000000"/>
          <w:spacing w:val="0"/>
          <w:kern w:val="0"/>
          <w:sz w:val="32"/>
          <w:szCs w:val="32"/>
        </w:rPr>
        <w:t>合</w:t>
      </w:r>
      <w:bookmarkStart w:id="0" w:name="_GoBack"/>
      <w:bookmarkEnd w:id="0"/>
      <w:r>
        <w:rPr>
          <w:rFonts w:ascii="仿宋_GB2312" w:eastAsia="仿宋_GB2312" w:cs="仿宋_GB2312" w:hint="eastAsia"/>
          <w:color w:val="000000"/>
          <w:spacing w:val="0"/>
          <w:kern w:val="0"/>
          <w:sz w:val="32"/>
          <w:szCs w:val="32"/>
        </w:rPr>
        <w:t>“三线一单”空间管控等要求</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项目建设须符合城乡建设、土地利用</w:t>
      </w:r>
      <w:r>
        <w:rPr>
          <w:rFonts w:ascii="仿宋_GB2312" w:eastAsia="仿宋_GB2312" w:cs="仿宋_GB2312" w:hint="eastAsia"/>
          <w:color w:val="000000"/>
          <w:spacing w:val="0"/>
          <w:kern w:val="0"/>
          <w:sz w:val="32"/>
          <w:szCs w:val="32"/>
          <w:lang w:eastAsia="zh-CN"/>
        </w:rPr>
        <w:t>、地方产业布局</w:t>
      </w:r>
      <w:r>
        <w:rPr>
          <w:rFonts w:ascii="仿宋_GB2312" w:eastAsia="仿宋_GB2312" w:cs="仿宋_GB2312" w:hint="eastAsia"/>
          <w:color w:val="000000"/>
          <w:spacing w:val="0"/>
          <w:kern w:val="0"/>
          <w:sz w:val="32"/>
          <w:szCs w:val="32"/>
        </w:rPr>
        <w:t>等相关规划要求。</w:t>
      </w:r>
      <w:r>
        <w:rPr>
          <w:rFonts w:ascii="仿宋_GB2312" w:eastAsia="仿宋_GB2312" w:cs="仿宋_GB2312" w:hint="eastAsia"/>
          <w:color w:val="000000"/>
          <w:spacing w:val="0"/>
          <w:kern w:val="0"/>
          <w:sz w:val="32"/>
          <w:szCs w:val="32"/>
          <w:shd w:val="clear" w:color="auto" w:fill="FFFFFF"/>
          <w:lang w:eastAsia="zh-CN"/>
        </w:rPr>
        <w:t>项目须满足</w:t>
      </w:r>
      <w:r>
        <w:rPr>
          <w:rFonts w:ascii="仿宋_GB2312" w:eastAsia="仿宋_GB2312" w:cs="仿宋_GB2312" w:hint="eastAsia"/>
          <w:color w:val="000000"/>
          <w:kern w:val="0"/>
          <w:sz w:val="32"/>
          <w:szCs w:val="32"/>
          <w:shd w:val="clear" w:color="auto" w:fill="FFFFFF"/>
          <w:lang w:eastAsia="zh-CN"/>
        </w:rPr>
        <w:t>《秦皇岛市人民政府关于秦皇岛市“三线一单”生态环境分区管控的实施意见》（秦政字[2021]6号）等文件要求。项目已</w:t>
      </w:r>
      <w:r>
        <w:rPr>
          <w:rFonts w:ascii="仿宋_GB2312" w:eastAsia="仿宋_GB2312" w:cs="Times New Roman" w:hint="eastAsia"/>
          <w:color w:val="000000"/>
          <w:sz w:val="32"/>
          <w:szCs w:val="32"/>
          <w:highlight w:val="auto"/>
        </w:rPr>
        <w:t>取得</w:t>
      </w:r>
      <w:r>
        <w:rPr>
          <w:rFonts w:ascii="仿宋_GB2312" w:eastAsia="仿宋_GB2312" w:cs="仿宋_GB2312" w:hint="eastAsia"/>
          <w:color w:val="000000"/>
          <w:kern w:val="0"/>
          <w:sz w:val="32"/>
          <w:szCs w:val="32"/>
          <w:shd w:val="clear" w:color="auto" w:fill="FFFFFF"/>
          <w:lang w:eastAsia="zh-CN"/>
        </w:rPr>
        <w:t>《河北省发展和改革委员会</w:t>
      </w:r>
      <w:r>
        <w:rPr>
          <w:rFonts w:ascii="仿宋_GB2312" w:eastAsia="仿宋_GB2312" w:cs="Times New Roman" w:hint="eastAsia"/>
          <w:color w:val="000000"/>
          <w:sz w:val="32"/>
          <w:szCs w:val="32"/>
          <w:highlight w:val="auto"/>
        </w:rPr>
        <w:t>关于秦沈线山海关区段与京秦高速遵化至秦皇岛段交叉管道迁改工程项目核准的批复》</w:t>
      </w:r>
      <w:r>
        <w:rPr>
          <w:rFonts w:ascii="仿宋_GB2312" w:eastAsia="仿宋_GB2312" w:cs="Times New Roman" w:hint="eastAsia"/>
          <w:color w:val="000000"/>
          <w:sz w:val="32"/>
          <w:szCs w:val="32"/>
          <w:lang w:eastAsia="zh-CN"/>
          <w:highlight w:val="auto"/>
        </w:rPr>
        <w:t>（</w:t>
      </w:r>
      <w:r>
        <w:rPr>
          <w:rFonts w:ascii="仿宋_GB2312" w:eastAsia="仿宋_GB2312" w:cs="Times New Roman" w:hint="eastAsia"/>
          <w:color w:val="000000"/>
          <w:sz w:val="32"/>
          <w:szCs w:val="32"/>
          <w:highlight w:val="auto"/>
        </w:rPr>
        <w:t>冀发改能源核字[2021]66号）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lang w:eastAsia="zh-CN"/>
        </w:rPr>
      </w:pPr>
      <w:r>
        <w:rPr>
          <w:rFonts w:ascii="仿宋_GB2312" w:eastAsia="仿宋_GB2312" w:cs="仿宋_GB2312" w:hint="eastAsia"/>
          <w:color w:val="000000"/>
          <w:spacing w:val="0"/>
          <w:kern w:val="0"/>
          <w:sz w:val="32"/>
          <w:szCs w:val="32"/>
        </w:rPr>
        <w:t>二、根据所报《报告书》、报告书评估意见、各有关部门意见、本项目公示意见反馈情况以及企业承诺等，在项目</w:t>
      </w:r>
      <w:r>
        <w:rPr>
          <w:rFonts w:ascii="仿宋_GB2312" w:eastAsia="仿宋_GB2312" w:cs="仿宋_GB2312" w:hint="eastAsia"/>
          <w:color w:val="000000"/>
          <w:spacing w:val="0"/>
          <w:kern w:val="0"/>
          <w:sz w:val="32"/>
          <w:szCs w:val="32"/>
          <w:lang w:eastAsia="zh-CN"/>
        </w:rPr>
        <w:t>全面严格</w:t>
      </w:r>
      <w:r>
        <w:rPr>
          <w:rFonts w:ascii="仿宋_GB2312" w:eastAsia="仿宋_GB2312" w:cs="仿宋_GB2312" w:hint="eastAsia"/>
          <w:color w:val="000000"/>
          <w:spacing w:val="0"/>
          <w:kern w:val="0"/>
          <w:sz w:val="32"/>
          <w:szCs w:val="32"/>
          <w:lang w:val="en-US" w:eastAsia="zh-CN"/>
        </w:rPr>
        <w:t>落实</w:t>
      </w:r>
      <w:r>
        <w:rPr>
          <w:rFonts w:ascii="仿宋_GB2312" w:eastAsia="仿宋_GB2312" w:cs="仿宋_GB2312" w:hint="eastAsia"/>
          <w:color w:val="000000"/>
          <w:spacing w:val="0"/>
          <w:kern w:val="0"/>
          <w:sz w:val="32"/>
          <w:szCs w:val="32"/>
        </w:rPr>
        <w:t>国家和地方相关法律法规、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w:t>
      </w:r>
      <w:r>
        <w:rPr>
          <w:rFonts w:ascii="仿宋_GB2312" w:eastAsia="仿宋_GB2312" w:cs="仿宋_GB2312" w:hint="eastAsia"/>
          <w:color w:val="000000"/>
          <w:spacing w:val="0"/>
          <w:kern w:val="0"/>
          <w:sz w:val="32"/>
          <w:szCs w:val="32"/>
          <w:shd w:val="clear" w:color="auto" w:fill="FFFFFF"/>
        </w:rPr>
        <w:t>、生态环境监督管理</w:t>
      </w:r>
      <w:r>
        <w:rPr>
          <w:rFonts w:ascii="仿宋_GB2312" w:eastAsia="仿宋_GB2312" w:cs="仿宋_GB2312" w:hint="eastAsia"/>
          <w:color w:val="000000"/>
          <w:spacing w:val="0"/>
          <w:kern w:val="0"/>
          <w:sz w:val="32"/>
          <w:szCs w:val="32"/>
          <w:shd w:val="clear" w:color="auto" w:fill="FFFFFF"/>
          <w:lang w:eastAsia="zh-CN"/>
        </w:rPr>
        <w:t>要求等</w:t>
      </w:r>
      <w:r>
        <w:rPr>
          <w:rFonts w:ascii="仿宋_GB2312" w:eastAsia="仿宋_GB2312" w:cs="仿宋_GB2312" w:hint="eastAsia"/>
          <w:color w:val="000000"/>
          <w:spacing w:val="0"/>
          <w:kern w:val="0"/>
          <w:sz w:val="32"/>
          <w:szCs w:val="32"/>
        </w:rPr>
        <w:t>规定</w:t>
      </w:r>
      <w:r>
        <w:rPr>
          <w:rFonts w:ascii="仿宋_GB2312" w:eastAsia="仿宋_GB2312" w:cs="仿宋_GB2312" w:hint="eastAsia"/>
          <w:color w:val="000000"/>
          <w:spacing w:val="0"/>
          <w:kern w:val="0"/>
          <w:sz w:val="32"/>
          <w:szCs w:val="32"/>
          <w:lang w:eastAsia="zh-CN"/>
        </w:rPr>
        <w:t>以及</w:t>
      </w:r>
      <w:r>
        <w:rPr>
          <w:rFonts w:ascii="仿宋_GB2312" w:eastAsia="仿宋_GB2312" w:cs="仿宋_GB2312" w:hint="eastAsia"/>
          <w:color w:val="000000"/>
          <w:spacing w:val="0"/>
          <w:kern w:val="0"/>
          <w:sz w:val="32"/>
          <w:szCs w:val="32"/>
          <w:shd w:val="clear" w:color="auto" w:fill="FFFFFF"/>
        </w:rPr>
        <w:t>《报告书》提出的各项生态保护措施、污染防治措施、风险防范措施</w:t>
      </w:r>
      <w:r>
        <w:rPr>
          <w:rFonts w:ascii="仿宋_GB2312" w:eastAsia="仿宋_GB2312" w:cs="仿宋_GB2312" w:hint="eastAsia"/>
          <w:color w:val="000000"/>
          <w:spacing w:val="0"/>
          <w:kern w:val="0"/>
          <w:sz w:val="32"/>
          <w:szCs w:val="32"/>
          <w:shd w:val="clear" w:color="auto" w:fill="FFFFFF"/>
          <w:lang w:eastAsia="zh-CN"/>
        </w:rPr>
        <w:t>、环境管理要求等前提下，</w:t>
      </w:r>
      <w:r>
        <w:rPr>
          <w:rFonts w:ascii="仿宋_GB2312" w:eastAsia="仿宋_GB2312" w:cs="仿宋_GB2312" w:hint="eastAsia"/>
          <w:color w:val="000000"/>
          <w:spacing w:val="0"/>
          <w:kern w:val="0"/>
          <w:sz w:val="32"/>
          <w:szCs w:val="32"/>
        </w:rPr>
        <w:t>从环境保护角度考虑，我局原则同意《报告书》结论。你公司须严格按照《报告书》所列建设项目的性质、规模、地点、环保措施及要求等实施</w:t>
      </w:r>
      <w:r>
        <w:rPr>
          <w:rFonts w:ascii="仿宋_GB2312" w:eastAsia="仿宋_GB2312" w:cs="仿宋_GB2312" w:hint="eastAsia"/>
          <w:color w:val="000000"/>
          <w:sz w:val="32"/>
          <w:szCs w:val="32"/>
          <w:shd w:val="clear" w:color="auto" w:fill="FFFFFF"/>
        </w:rPr>
        <w:t>项目建设，未列入本报告及批复许可的内容，不得建设、投入运行。</w:t>
      </w:r>
    </w:p>
    <w:p>
      <w:pPr>
        <w:keepNext w:val="0"/>
        <w:keepLines w:val="0"/>
        <w:pageBreakBefore w:val="0"/>
        <w:widowControl w:val="0"/>
        <w:suppressLineNumbers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z w:val="32"/>
          <w:szCs w:val="32"/>
          <w:shd w:val="clear" w:color="auto" w:fill="FFFFFF"/>
          <w:highlight w:val="auto"/>
        </w:rPr>
      </w:pPr>
      <w:r>
        <w:rPr>
          <w:rFonts w:ascii="仿宋_GB2312" w:eastAsia="仿宋_GB2312" w:cs="仿宋_GB2312" w:hint="eastAsia"/>
          <w:color w:val="000000"/>
          <w:kern w:val="0"/>
          <w:sz w:val="32"/>
          <w:szCs w:val="32"/>
        </w:rPr>
        <w:t>三、该项目建设和运行过程中要认真落实《报告书》及相关的各项生态保护、污染防治、风险防范措施和环境管理要求，确保各项污染物稳定达标排放。同时，重点做好以下工作：</w:t>
      </w:r>
    </w:p>
    <w:p>
      <w:pPr>
        <w:pStyle w:val="18"/>
        <w:keepNext w:val="0"/>
        <w:keepLines w:val="0"/>
        <w:pageBreakBefore w:val="0"/>
        <w:widowControl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color w:val="000000"/>
          <w:sz w:val="32"/>
          <w:szCs w:val="32"/>
        </w:rPr>
        <w:t>(一)</w:t>
      </w:r>
      <w:r>
        <w:rPr>
          <w:rFonts w:ascii="仿宋_GB2312" w:eastAsia="仿宋_GB2312" w:cs="仿宋_GB2312" w:hint="eastAsia"/>
          <w:color w:val="000000"/>
          <w:sz w:val="32"/>
          <w:szCs w:val="32"/>
        </w:rPr>
        <w:t>优化施工方案，严格落实生态环境保护措施。强化施工期的环境管理，合理布局施工场地，应严格控制施工作业范围，尽量减少临时占地面积，工程建设中应进一步压缩施工作业带宽度和面积，严格落实土地平整、表土回填、复垦、复绿等生态恢复措施。</w:t>
      </w:r>
      <w:r>
        <w:rPr>
          <w:rFonts w:ascii="仿宋_GB2312" w:eastAsia="仿宋_GB2312" w:cs="Times New Roman" w:hint="eastAsia"/>
          <w:color w:val="000000"/>
          <w:sz w:val="32"/>
          <w:szCs w:val="32"/>
          <w:highlight w:val="auto"/>
        </w:rPr>
        <w:t>主体工程与水保措施</w:t>
      </w:r>
      <w:r>
        <w:rPr>
          <w:rFonts w:ascii="仿宋_GB2312" w:eastAsia="仿宋_GB2312" w:cs="Times New Roman"/>
          <w:color w:val="000000"/>
          <w:sz w:val="32"/>
          <w:szCs w:val="32"/>
          <w:highlight w:val="auto"/>
        </w:rPr>
        <w:t>应</w:t>
      </w:r>
      <w:r>
        <w:rPr>
          <w:rFonts w:ascii="仿宋_GB2312" w:eastAsia="仿宋_GB2312" w:cs="Times New Roman" w:hint="eastAsia"/>
          <w:color w:val="000000"/>
          <w:sz w:val="32"/>
          <w:szCs w:val="32"/>
          <w:highlight w:val="auto"/>
        </w:rPr>
        <w:t>同时施工，作好挡土防护措施</w:t>
      </w:r>
      <w:r>
        <w:rPr>
          <w:rFonts w:ascii="仿宋_GB2312" w:eastAsia="仿宋_GB2312" w:cs="Times New Roman" w:hint="eastAsia"/>
          <w:color w:val="000000"/>
          <w:sz w:val="32"/>
          <w:szCs w:val="32"/>
          <w:lang w:eastAsia="zh-CN"/>
          <w:highlight w:val="auto"/>
        </w:rPr>
        <w:t>，</w:t>
      </w:r>
      <w:r>
        <w:rPr>
          <w:rFonts w:ascii="仿宋_GB2312" w:eastAsia="仿宋_GB2312" w:cs="Times New Roman" w:hint="eastAsia"/>
          <w:color w:val="000000"/>
          <w:sz w:val="32"/>
          <w:szCs w:val="32"/>
          <w:lang w:val="en-US" w:eastAsia="zh-CN"/>
          <w:highlight w:val="auto"/>
        </w:rPr>
        <w:t>减少水土流失。</w:t>
      </w:r>
      <w:r>
        <w:rPr>
          <w:rFonts w:ascii="仿宋_GB2312" w:eastAsia="仿宋_GB2312" w:cs="Times New Roman" w:hint="eastAsia"/>
          <w:color w:val="000000"/>
          <w:sz w:val="32"/>
          <w:szCs w:val="32"/>
          <w:lang w:val="en-US" w:eastAsia="zh-CN"/>
        </w:rPr>
        <w:t>在管道施工过程中必须做到对管沟区土壤的分层剥离、分层开挖、分层堆放和循序分层回填</w:t>
      </w:r>
      <w:r>
        <w:rPr>
          <w:rFonts w:ascii="仿宋_GB2312" w:eastAsia="仿宋_GB2312" w:cs="Times New Roman" w:hint="eastAsia"/>
          <w:color w:val="000000"/>
          <w:sz w:val="32"/>
          <w:szCs w:val="32"/>
          <w:highlight w:val="auto"/>
        </w:rPr>
        <w:t>，并及时恢复沿线地表原貌。</w:t>
      </w:r>
    </w:p>
    <w:p>
      <w:pPr>
        <w:pStyle w:val="18"/>
        <w:keepNext w:val="0"/>
        <w:keepLines w:val="0"/>
        <w:pageBreakBefore w:val="0"/>
        <w:widowControl w:val="0"/>
        <w:kinsoku/>
        <w:wordWrap/>
        <w:overflowPunct/>
        <w:topLinePunct w:val="0"/>
        <w:autoSpaceDE/>
        <w:autoSpaceDN/>
        <w:adjustRightInd w:val="0"/>
        <w:snapToGrid w:val="0"/>
        <w:spacing w:line="560" w:lineRule="exact"/>
        <w:ind w:firstLineChars="200" w:firstLine="640"/>
        <w:rPr>
          <w:rFonts w:ascii="仿宋_GB2312" w:eastAsia="仿宋_GB2312" w:cs="仿宋_GB2312" w:hint="eastAsia"/>
          <w:color w:val="000000"/>
          <w:spacing w:val="0"/>
          <w:kern w:val="0"/>
          <w:sz w:val="32"/>
          <w:szCs w:val="32"/>
        </w:rPr>
      </w:pPr>
      <w:r>
        <w:rPr>
          <w:rFonts w:ascii="仿宋_GB2312" w:eastAsia="仿宋_GB2312" w:cs="仿宋_GB2312" w:hint="eastAsia"/>
          <w:color w:val="000000"/>
          <w:kern w:val="0"/>
          <w:sz w:val="32"/>
          <w:szCs w:val="32"/>
          <w:lang w:val="en-US"/>
        </w:rPr>
        <w:t>(二)</w:t>
      </w:r>
      <w:r>
        <w:rPr>
          <w:rFonts w:ascii="仿宋_GB2312" w:eastAsia="仿宋_GB2312" w:cs="仿宋_GB2312" w:hint="eastAsia"/>
          <w:color w:val="000000"/>
          <w:kern w:val="0"/>
          <w:sz w:val="32"/>
          <w:szCs w:val="32"/>
        </w:rPr>
        <w:t>严格落实各项大气污染防治措施，</w:t>
      </w:r>
      <w:r>
        <w:rPr>
          <w:rFonts w:ascii="仿宋_GB2312" w:eastAsia="仿宋_GB2312" w:cs="仿宋_GB2312" w:hint="eastAsia"/>
          <w:color w:val="000000"/>
          <w:kern w:val="0"/>
          <w:sz w:val="32"/>
          <w:szCs w:val="32"/>
          <w:lang w:val="en-US" w:eastAsia="zh-CN"/>
        </w:rPr>
        <w:t>有效控制施工扬尘，确保施工扬尘满足《施工场地扬尘排放标准》（DB13/2934-2019）相关要求。依法依规处置施工期废水，防止施工期废水污染环境。</w:t>
      </w:r>
      <w:r>
        <w:rPr>
          <w:rFonts w:ascii="仿宋_GB2312" w:eastAsia="仿宋_GB2312" w:cs="仿宋_GB2312" w:hint="eastAsia"/>
          <w:color w:val="000000"/>
          <w:spacing w:val="0"/>
          <w:kern w:val="0"/>
          <w:sz w:val="32"/>
          <w:szCs w:val="32"/>
        </w:rPr>
        <w:t>严格落实各项噪声污染防治措施</w:t>
      </w:r>
      <w:r>
        <w:rPr>
          <w:rFonts w:ascii="仿宋_GB2312" w:eastAsia="仿宋_GB2312" w:cs="仿宋_GB2312" w:hint="eastAsia"/>
          <w:color w:val="000000"/>
          <w:spacing w:val="0"/>
          <w:kern w:val="0"/>
          <w:sz w:val="32"/>
          <w:szCs w:val="32"/>
          <w:lang w:eastAsia="zh-CN"/>
        </w:rPr>
        <w:t>，</w:t>
      </w:r>
      <w:r>
        <w:rPr>
          <w:rFonts w:ascii="仿宋_GB2312" w:eastAsia="仿宋_GB2312" w:cs="仿宋_GB2312" w:hint="eastAsia"/>
          <w:color w:val="000000"/>
          <w:spacing w:val="0"/>
          <w:kern w:val="0"/>
          <w:sz w:val="32"/>
          <w:szCs w:val="32"/>
        </w:rPr>
        <w:t>选用</w:t>
      </w:r>
      <w:r>
        <w:rPr>
          <w:rFonts w:ascii="仿宋_GB2312" w:eastAsia="仿宋_GB2312" w:cs="Times New Roman" w:hint="eastAsia"/>
          <w:color w:val="000000"/>
          <w:sz w:val="32"/>
          <w:szCs w:val="32"/>
          <w:highlight w:val="auto"/>
        </w:rPr>
        <w:t>低噪声设备，合理布局施工场地，</w:t>
      </w:r>
      <w:r>
        <w:rPr>
          <w:rFonts w:ascii="仿宋_GB2312" w:eastAsia="仿宋_GB2312" w:cs="仿宋_GB2312" w:hint="eastAsia"/>
          <w:color w:val="000000"/>
          <w:spacing w:val="0"/>
          <w:kern w:val="0"/>
          <w:sz w:val="32"/>
          <w:szCs w:val="32"/>
        </w:rPr>
        <w:t>同时采取必要的隔音、消声降噪、减振、控制作业时间等措施，有效控制施工期间产生的噪声对周围环境的影响，</w:t>
      </w:r>
      <w:r>
        <w:rPr>
          <w:rFonts w:ascii="仿宋_GB2312" w:eastAsia="仿宋_GB2312" w:cs="仿宋_GB2312" w:hint="eastAsia"/>
          <w:color w:val="000000"/>
          <w:kern w:val="0"/>
          <w:sz w:val="32"/>
          <w:szCs w:val="32"/>
        </w:rPr>
        <w:t>确保施工场界噪声达到</w:t>
      </w:r>
      <w:r>
        <w:rPr>
          <w:rFonts w:ascii="仿宋_GB2312" w:eastAsia="仿宋_GB2312" w:cs="仿宋_GB2312" w:hint="eastAsia"/>
          <w:color w:val="000000"/>
          <w:kern w:val="0"/>
          <w:sz w:val="32"/>
          <w:szCs w:val="32"/>
          <w:lang w:val="en-US" w:eastAsia="zh-CN"/>
        </w:rPr>
        <w:t>《建筑施工场界环境噪声排放标准》(GB12523-2011)要求；</w:t>
      </w:r>
      <w:r>
        <w:rPr>
          <w:rFonts w:ascii="仿宋_GB2312" w:eastAsia="仿宋_GB2312" w:cs="仿宋_GB2312" w:hint="eastAsia"/>
          <w:color w:val="000000"/>
          <w:spacing w:val="0"/>
          <w:kern w:val="0"/>
          <w:sz w:val="32"/>
          <w:szCs w:val="32"/>
          <w:lang w:val="en-US" w:eastAsia="zh-CN"/>
        </w:rPr>
        <w:t>严格落实</w:t>
      </w:r>
      <w:r>
        <w:rPr>
          <w:rFonts w:ascii="仿宋_GB2312" w:eastAsia="仿宋_GB2312" w:cs="仿宋_GB2312" w:hint="eastAsia"/>
          <w:color w:val="000000"/>
          <w:spacing w:val="0"/>
          <w:kern w:val="0"/>
          <w:sz w:val="32"/>
          <w:szCs w:val="32"/>
        </w:rPr>
        <w:t>固体废物污染防治</w:t>
      </w:r>
      <w:r>
        <w:rPr>
          <w:rFonts w:ascii="仿宋_GB2312" w:eastAsia="仿宋_GB2312" w:cs="仿宋_GB2312" w:hint="eastAsia"/>
          <w:color w:val="000000"/>
          <w:spacing w:val="0"/>
          <w:kern w:val="0"/>
          <w:sz w:val="32"/>
          <w:szCs w:val="32"/>
          <w:lang w:val="en-US" w:eastAsia="zh-CN"/>
        </w:rPr>
        <w:t>措施</w:t>
      </w:r>
      <w:r>
        <w:rPr>
          <w:rFonts w:ascii="仿宋_GB2312" w:eastAsia="仿宋_GB2312" w:cs="仿宋_GB2312" w:hint="eastAsia"/>
          <w:color w:val="000000"/>
          <w:spacing w:val="0"/>
          <w:kern w:val="0"/>
          <w:sz w:val="32"/>
          <w:szCs w:val="32"/>
        </w:rPr>
        <w:t>。严格按照《中华人民共和国固体废物污染环境防治法》</w:t>
      </w:r>
      <w:r>
        <w:rPr>
          <w:rFonts w:ascii="仿宋_GB2312" w:eastAsia="仿宋_GB2312" w:cs="仿宋_GB2312" w:hint="eastAsia"/>
          <w:color w:val="000000"/>
          <w:spacing w:val="0"/>
          <w:kern w:val="0"/>
          <w:sz w:val="32"/>
          <w:szCs w:val="32"/>
          <w:lang w:eastAsia="zh-CN"/>
        </w:rPr>
        <w:t>等相关</w:t>
      </w:r>
      <w:r>
        <w:rPr>
          <w:rFonts w:ascii="仿宋_GB2312" w:eastAsia="仿宋_GB2312" w:cs="仿宋_GB2312" w:hint="eastAsia"/>
          <w:color w:val="000000"/>
          <w:spacing w:val="0"/>
          <w:kern w:val="0"/>
          <w:sz w:val="32"/>
          <w:szCs w:val="32"/>
        </w:rPr>
        <w:t>法律法规和政策文件的规定要求以及《报告书》的相关要求，认真落实固体废物分类处理、处置和综合利用措施。</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rPr>
      </w:pPr>
      <w:r>
        <w:rPr>
          <w:rFonts w:ascii="仿宋_GB2312" w:eastAsia="仿宋_GB2312" w:cs="仿宋_GB2312" w:hint="eastAsia"/>
          <w:color w:val="000000"/>
          <w:kern w:val="0"/>
          <w:sz w:val="32"/>
          <w:szCs w:val="32"/>
          <w:shd w:val="clear" w:color="auto" w:fill="FFFFFF"/>
        </w:rPr>
        <w:t>（三）</w:t>
      </w:r>
      <w:r>
        <w:rPr>
          <w:rFonts w:ascii="仿宋_GB2312" w:eastAsia="仿宋_GB2312" w:cs="仿宋_GB2312" w:hint="eastAsia"/>
          <w:color w:val="000000"/>
          <w:spacing w:val="0"/>
          <w:kern w:val="0"/>
          <w:sz w:val="32"/>
          <w:szCs w:val="32"/>
          <w:lang w:val="en-US" w:eastAsia="zh-CN"/>
        </w:rPr>
        <w:t>认真落实《报告书》中其他环境管理要求。</w:t>
      </w:r>
      <w:r>
        <w:rPr>
          <w:rFonts w:ascii="仿宋_GB2312" w:eastAsia="仿宋_GB2312" w:cs="仿宋_GB2312" w:hint="eastAsia"/>
          <w:color w:val="000000"/>
          <w:spacing w:val="0"/>
          <w:kern w:val="0"/>
          <w:sz w:val="32"/>
          <w:szCs w:val="32"/>
        </w:rPr>
        <w:t>如国家和地方另有更严格的相关法律法规、</w:t>
      </w:r>
      <w:r>
        <w:rPr>
          <w:rFonts w:ascii="仿宋_GB2312" w:eastAsia="仿宋_GB2312" w:cs="仿宋_GB2312" w:hint="eastAsia"/>
          <w:color w:val="000000"/>
          <w:spacing w:val="0"/>
          <w:kern w:val="0"/>
          <w:sz w:val="32"/>
          <w:szCs w:val="32"/>
          <w:lang w:eastAsia="zh-CN"/>
        </w:rPr>
        <w:t>规章、</w:t>
      </w:r>
      <w:r>
        <w:rPr>
          <w:rFonts w:ascii="仿宋_GB2312" w:eastAsia="仿宋_GB2312" w:cs="仿宋_GB2312" w:hint="eastAsia"/>
          <w:color w:val="000000"/>
          <w:spacing w:val="0"/>
          <w:kern w:val="0"/>
          <w:sz w:val="32"/>
          <w:szCs w:val="32"/>
        </w:rPr>
        <w:t>标准以及生态环境监督管理</w:t>
      </w:r>
      <w:r>
        <w:rPr>
          <w:rFonts w:ascii="仿宋_GB2312" w:eastAsia="仿宋_GB2312" w:cs="仿宋_GB2312" w:hint="eastAsia"/>
          <w:color w:val="000000"/>
          <w:spacing w:val="0"/>
          <w:kern w:val="0"/>
          <w:sz w:val="32"/>
          <w:szCs w:val="32"/>
          <w:lang w:val="en-US" w:eastAsia="zh-CN"/>
        </w:rPr>
        <w:t>等</w:t>
      </w:r>
      <w:r>
        <w:rPr>
          <w:rFonts w:ascii="仿宋_GB2312" w:eastAsia="仿宋_GB2312" w:cs="仿宋_GB2312" w:hint="eastAsia"/>
          <w:color w:val="000000"/>
          <w:spacing w:val="0"/>
          <w:kern w:val="0"/>
          <w:sz w:val="32"/>
          <w:szCs w:val="32"/>
        </w:rPr>
        <w:t>要求的，按最严格规定执行。</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jc w:val="both"/>
        <w:textAlignment w:val="auto"/>
        <w:rPr>
          <w:rFonts w:ascii="仿宋_GB2312" w:eastAsia="仿宋_GB2312" w:cs="仿宋_GB2312" w:hint="eastAsia"/>
          <w:color w:val="000000"/>
          <w:sz w:val="32"/>
          <w:szCs w:val="32"/>
        </w:rPr>
      </w:pPr>
      <w:r>
        <w:rPr>
          <w:rFonts w:ascii="仿宋_GB2312" w:eastAsia="仿宋_GB2312" w:cs="仿宋_GB2312" w:hint="eastAsia"/>
          <w:color w:val="000000"/>
          <w:spacing w:val="0"/>
          <w:kern w:val="0"/>
          <w:sz w:val="32"/>
          <w:szCs w:val="32"/>
        </w:rPr>
        <w:t>四、强化环境风险防范和应急措施。制订完善的环境管理制度</w:t>
      </w:r>
      <w:r>
        <w:rPr>
          <w:rFonts w:ascii="仿宋_GB2312" w:eastAsia="仿宋_GB2312" w:cs="仿宋_GB2312" w:hint="eastAsia"/>
          <w:color w:val="000000"/>
          <w:spacing w:val="0"/>
          <w:kern w:val="0"/>
          <w:sz w:val="32"/>
          <w:szCs w:val="32"/>
          <w:lang w:val="en-US" w:eastAsia="zh-CN"/>
        </w:rPr>
        <w:t>和</w:t>
      </w:r>
      <w:r>
        <w:rPr>
          <w:rFonts w:ascii="仿宋_GB2312" w:eastAsia="仿宋_GB2312" w:cs="仿宋_GB2312" w:hint="eastAsia"/>
          <w:color w:val="000000"/>
          <w:spacing w:val="0"/>
          <w:kern w:val="0"/>
          <w:sz w:val="32"/>
          <w:szCs w:val="32"/>
        </w:rPr>
        <w:t>风险</w:t>
      </w:r>
      <w:r>
        <w:rPr>
          <w:rFonts w:ascii="仿宋_GB2312" w:eastAsia="仿宋_GB2312" w:cs="仿宋_GB2312" w:hint="eastAsia"/>
          <w:color w:val="000000"/>
          <w:spacing w:val="0"/>
          <w:kern w:val="0"/>
          <w:sz w:val="32"/>
          <w:szCs w:val="32"/>
          <w:lang w:val="en-US" w:eastAsia="zh-CN"/>
        </w:rPr>
        <w:t>防范</w:t>
      </w:r>
      <w:r>
        <w:rPr>
          <w:rFonts w:ascii="仿宋_GB2312" w:eastAsia="仿宋_GB2312" w:cs="仿宋_GB2312" w:hint="eastAsia"/>
          <w:color w:val="000000"/>
          <w:spacing w:val="0"/>
          <w:kern w:val="0"/>
          <w:sz w:val="32"/>
          <w:szCs w:val="32"/>
        </w:rPr>
        <w:t>措施，设施配备齐全，加强相关人员培训。加强风险源管控，严格落实《报告书》中环境风险防范措施，制定突发环境事件应急预案，并报当地</w:t>
      </w:r>
      <w:r>
        <w:rPr>
          <w:rFonts w:ascii="仿宋_GB2312" w:eastAsia="仿宋_GB2312" w:cs="仿宋_GB2312" w:hint="eastAsia"/>
          <w:color w:val="000000"/>
          <w:spacing w:val="0"/>
          <w:kern w:val="0"/>
          <w:sz w:val="32"/>
          <w:szCs w:val="32"/>
          <w:lang w:eastAsia="zh-CN"/>
        </w:rPr>
        <w:t>生态环境</w:t>
      </w:r>
      <w:r>
        <w:rPr>
          <w:rFonts w:ascii="仿宋_GB2312" w:eastAsia="仿宋_GB2312" w:cs="仿宋_GB2312" w:hint="eastAsia"/>
          <w:color w:val="000000"/>
          <w:spacing w:val="0"/>
          <w:kern w:val="0"/>
          <w:sz w:val="32"/>
          <w:szCs w:val="32"/>
        </w:rPr>
        <w:t>部门备案，同时与当地政府及相关部门应急预案做好衔接，定期进行应急培训和演练，有效防范和应对环境风险。</w:t>
      </w:r>
    </w:p>
    <w:p>
      <w:pPr>
        <w:pStyle w:val="16"/>
        <w:keepNext w:val="0"/>
        <w:keepLines w:val="0"/>
        <w:pageBreakBefore w:val="0"/>
        <w:widowControl w:val="0"/>
        <w:bidi w:val="0"/>
        <w:adjustRightInd w:val="0"/>
        <w:snapToGrid w:val="0"/>
        <w:spacing w:after="0" w:line="560" w:lineRule="exact"/>
        <w:ind w:firstLineChars="200" w:firstLine="640"/>
        <w:rPr>
          <w:rFonts w:ascii="仿宋_GB2312" w:eastAsia="仿宋_GB2312" w:hint="eastAsia"/>
          <w:color w:val="000000"/>
        </w:rPr>
      </w:pPr>
      <w:r>
        <w:rPr>
          <w:rFonts w:ascii="仿宋_GB2312" w:eastAsia="仿宋_GB2312" w:cs="仿宋_GB2312" w:hint="eastAsia"/>
          <w:color w:val="000000"/>
          <w:spacing w:val="0"/>
          <w:kern w:val="0"/>
          <w:sz w:val="32"/>
          <w:szCs w:val="32"/>
        </w:rPr>
        <w:t>五、</w:t>
      </w:r>
      <w:r>
        <w:rPr>
          <w:rFonts w:ascii="仿宋_GB2312" w:eastAsia="仿宋_GB2312" w:cs="仿宋_GB2312" w:hint="eastAsia"/>
          <w:color w:val="000000"/>
          <w:spacing w:val="0"/>
          <w:kern w:val="0"/>
          <w:sz w:val="32"/>
          <w:szCs w:val="32"/>
          <w:shd w:val="clear" w:color="auto" w:fill="FFFFFF"/>
        </w:rPr>
        <w:t>项目建设必须严格执行配套建设的环境保护设施与主体工程同时设计、同时施工、同时投入使用的环境保护“三同时”制度。项目竣工后，须按规定开展环境保护设施竣工验收工作</w:t>
      </w:r>
      <w:r>
        <w:rPr>
          <w:rFonts w:ascii="仿宋_GB2312" w:eastAsia="仿宋_GB2312" w:cs="仿宋_GB2312" w:hint="eastAsia"/>
          <w:color w:val="000000"/>
          <w:spacing w:val="0"/>
          <w:kern w:val="0"/>
          <w:sz w:val="32"/>
          <w:szCs w:val="32"/>
          <w:shd w:val="clear" w:color="auto" w:fill="FFFFFF"/>
          <w:lang w:val="zh-CN" w:eastAsia="zh-CN"/>
        </w:rPr>
        <w:t>。</w:t>
      </w:r>
      <w:r>
        <w:rPr>
          <w:rFonts w:ascii="仿宋_GB2312" w:eastAsia="仿宋_GB2312" w:cs="仿宋_GB2312" w:hint="eastAsia"/>
          <w:color w:val="000000"/>
          <w:spacing w:val="0"/>
          <w:kern w:val="0"/>
          <w:sz w:val="32"/>
          <w:szCs w:val="32"/>
          <w:shd w:val="clear" w:color="auto" w:fill="FFFFFF"/>
        </w:rPr>
        <w:t>验收合格后，项目方可正式投入生产或者使用，未经验收或者验收不合格的，不得投入生产或者使用。本项目环境影响评价文件经批准后，工程规模、管道路由及防止生态破坏的措施</w:t>
      </w:r>
      <w:r>
        <w:rPr>
          <w:rFonts w:ascii="仿宋_GB2312" w:eastAsia="仿宋_GB2312" w:cs="仿宋_GB2312" w:hint="eastAsia"/>
          <w:color w:val="000000"/>
          <w:spacing w:val="0"/>
          <w:kern w:val="0"/>
          <w:sz w:val="32"/>
          <w:szCs w:val="32"/>
          <w:shd w:val="clear" w:color="auto" w:fill="FFFFFF"/>
          <w:lang w:eastAsia="zh-CN"/>
        </w:rPr>
        <w:t>等</w:t>
      </w:r>
      <w:r>
        <w:rPr>
          <w:rFonts w:ascii="仿宋_GB2312" w:eastAsia="仿宋_GB2312" w:cs="仿宋_GB2312" w:hint="eastAsia"/>
          <w:color w:val="000000"/>
          <w:spacing w:val="0"/>
          <w:kern w:val="0"/>
          <w:sz w:val="32"/>
          <w:szCs w:val="32"/>
          <w:shd w:val="clear" w:color="auto" w:fill="FFFFFF"/>
        </w:rPr>
        <w:t>发生重大变动的，应按照相关法律法规的规定，</w:t>
      </w:r>
      <w:r>
        <w:rPr>
          <w:rFonts w:ascii="仿宋_GB2312" w:eastAsia="仿宋_GB2312" w:cs="仿宋_GB2312" w:hint="eastAsia"/>
          <w:color w:val="000000"/>
          <w:spacing w:val="0"/>
          <w:kern w:val="0"/>
          <w:sz w:val="32"/>
          <w:szCs w:val="32"/>
          <w:shd w:val="clear" w:color="auto" w:fill="FFFFFF"/>
          <w:lang w:eastAsia="zh-CN"/>
        </w:rPr>
        <w:t>依法依规</w:t>
      </w:r>
      <w:r>
        <w:rPr>
          <w:rFonts w:ascii="仿宋_GB2312" w:eastAsia="仿宋_GB2312" w:cs="仿宋_GB2312" w:hint="eastAsia"/>
          <w:color w:val="000000"/>
          <w:spacing w:val="0"/>
          <w:kern w:val="0"/>
          <w:sz w:val="32"/>
          <w:szCs w:val="32"/>
          <w:shd w:val="clear" w:color="auto" w:fill="FFFFFF"/>
        </w:rPr>
        <w:t>重新报批本项目环境影响评价文件。自批复之日起五年后方决定开工建设的，须将环评文件报行政审批部门重新审核。</w:t>
      </w:r>
    </w:p>
    <w:p>
      <w:pPr>
        <w:pStyle w:val="16"/>
        <w:keepNext w:val="0"/>
        <w:keepLines w:val="0"/>
        <w:pageBreakBefore w:val="0"/>
        <w:widowControl w:val="0"/>
        <w:suppressLineNumbers w:val="0"/>
        <w:bidi w:val="0"/>
        <w:adjustRightInd w:val="0"/>
        <w:snapToGrid w:val="0"/>
        <w:spacing w:after="0" w:line="560" w:lineRule="exact"/>
        <w:ind w:left="0" w:firstLineChars="200" w:firstLine="640"/>
        <w:rPr>
          <w:rFonts w:ascii="仿宋_GB2312" w:eastAsia="仿宋_GB2312" w:hint="eastAsia"/>
          <w:color w:val="000000"/>
        </w:rPr>
      </w:pPr>
      <w:r>
        <w:rPr>
          <w:rFonts w:ascii="仿宋_GB2312" w:eastAsia="仿宋_GB2312" w:cs="仿宋_GB2312" w:hint="eastAsia"/>
          <w:color w:val="000000"/>
          <w:spacing w:val="0"/>
          <w:kern w:val="0"/>
          <w:sz w:val="32"/>
          <w:szCs w:val="32"/>
        </w:rPr>
        <w:t>六、</w:t>
      </w:r>
      <w:r>
        <w:rPr>
          <w:rFonts w:ascii="仿宋_GB2312" w:eastAsia="仿宋_GB2312" w:cs="仿宋_GB2312" w:hint="eastAsia"/>
          <w:color w:val="000000"/>
          <w:sz w:val="32"/>
          <w:szCs w:val="32"/>
        </w:rPr>
        <w:t>你公司在接到本批复后</w:t>
      </w:r>
      <w:r>
        <w:rPr>
          <w:rFonts w:ascii="仿宋_GB2312" w:eastAsia="仿宋_GB2312" w:cs="仿宋_GB2312" w:hint="eastAsia"/>
          <w:color w:val="000000"/>
          <w:kern w:val="0"/>
          <w:sz w:val="32"/>
          <w:szCs w:val="32"/>
          <w:shd w:val="clear" w:color="auto" w:fill="FFFFFF"/>
        </w:rPr>
        <w:t>的10个工作日内</w:t>
      </w:r>
      <w:r>
        <w:rPr>
          <w:rFonts w:ascii="仿宋_GB2312" w:eastAsia="仿宋_GB2312" w:cs="仿宋_GB2312" w:hint="eastAsia"/>
          <w:color w:val="000000"/>
          <w:sz w:val="32"/>
          <w:szCs w:val="32"/>
        </w:rPr>
        <w:t>，须将《报告书》及其批复文件送至生态环境行政主管部门备案，</w:t>
      </w:r>
      <w:r>
        <w:rPr>
          <w:rFonts w:ascii="仿宋_GB2312" w:eastAsia="仿宋_GB2312" w:cs="仿宋_GB2312" w:hint="eastAsia"/>
          <w:color w:val="000000"/>
          <w:kern w:val="0"/>
          <w:sz w:val="32"/>
          <w:szCs w:val="32"/>
          <w:shd w:val="clear" w:color="auto" w:fill="FFFFFF"/>
        </w:rPr>
        <w:t>并按规定接受各级生态环境行政主管部门的监督检查。</w:t>
      </w: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firstLineChars="200" w:firstLine="640"/>
        <w:jc w:val="both"/>
        <w:textAlignment w:val="auto"/>
        <w:rPr>
          <w:rFonts w:ascii="仿宋_GB2312" w:eastAsia="仿宋_GB2312" w:cs="仿宋_GB2312" w:hint="eastAsia"/>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eastAsia="仿宋_GB2312" w:cs="仿宋_GB2312" w:hint="eastAsia"/>
          <w:color w:val="000000"/>
          <w:spacing w:val="0"/>
          <w:kern w:val="0"/>
          <w:sz w:val="32"/>
          <w:szCs w:val="32"/>
          <w:shd w:val="clear" w:color="auto" w:fill="FFFFFF"/>
        </w:rPr>
      </w:pPr>
    </w:p>
    <w:p>
      <w:pPr>
        <w:pStyle w:val="16"/>
        <w:keepNext w:val="0"/>
        <w:keepLines w:val="0"/>
        <w:pageBreakBefore w:val="0"/>
        <w:widowControl w:val="0"/>
        <w:kinsoku/>
        <w:wordWrap/>
        <w:overflowPunct/>
        <w:topLinePunct w:val="0"/>
        <w:autoSpaceDE/>
        <w:autoSpaceDN/>
        <w:bidi w:val="0"/>
        <w:adjustRightInd w:val="0"/>
        <w:snapToGrid w:val="0"/>
        <w:spacing w:after="0" w:line="560" w:lineRule="exact"/>
        <w:ind w:left="0" w:firstLineChars="1650" w:firstLine="5280"/>
        <w:jc w:val="both"/>
        <w:textAlignment w:val="auto"/>
        <w:rPr>
          <w:rFonts w:ascii="仿宋_GB2312" w:eastAsia="仿宋_GB2312" w:cs="仿宋_GB2312" w:hint="eastAsia"/>
          <w:color w:val="000000"/>
          <w:sz w:val="32"/>
          <w:szCs w:val="32"/>
          <w:lang w:val="en-US" w:eastAsia="zh-CN"/>
        </w:rPr>
      </w:pPr>
      <w:r>
        <w:rPr>
          <w:rFonts w:ascii="仿宋_GB2312" w:eastAsia="仿宋_GB2312" w:cs="仿宋_GB2312" w:hint="eastAsia"/>
          <w:color w:val="000000"/>
          <w:sz w:val="32"/>
          <w:szCs w:val="32"/>
          <w:lang w:val="en-US" w:eastAsia="zh-CN"/>
        </w:rPr>
        <w:t>秦皇岛市行政审批局</w:t>
      </w:r>
    </w:p>
    <w:p>
      <w:pPr>
        <w:pStyle w:val="16"/>
        <w:keepNext w:val="0"/>
        <w:keepLines w:val="0"/>
        <w:pageBreakBefore w:val="0"/>
        <w:widowControl w:val="0"/>
        <w:kinsoku/>
        <w:wordWrap/>
        <w:overflowPunct/>
        <w:topLinePunct w:val="0"/>
        <w:autoSpaceDE/>
        <w:autoSpaceDN/>
        <w:adjustRightInd w:val="0"/>
        <w:snapToGrid w:val="0"/>
        <w:spacing w:after="0" w:line="560" w:lineRule="exact"/>
        <w:ind w:left="0" w:firstLineChars="1800" w:firstLine="5760"/>
        <w:rPr>
          <w:rFonts w:ascii="仿宋_GB2312" w:eastAsia="仿宋_GB2312" w:cs="Helvetica" w:hint="eastAsia"/>
          <w:color w:val="000000"/>
          <w:kern w:val="0"/>
          <w:sz w:val="32"/>
          <w:szCs w:val="32"/>
        </w:rPr>
      </w:pPr>
      <w:r>
        <w:rPr>
          <w:rFonts w:ascii="仿宋_GB2312" w:eastAsia="仿宋_GB2312" w:cs="仿宋_GB2312" w:hint="eastAsia"/>
          <w:color w:val="000000"/>
          <w:sz w:val="32"/>
          <w:szCs w:val="32"/>
          <w:lang w:val="en-US" w:eastAsia="zh-CN"/>
        </w:rPr>
        <w:t>2023年1月31日</w:t>
      </w:r>
    </w:p>
    <w:sectPr>
      <w:footerReference w:type="default" r:id="rId2"/>
      <w:pgSz w:w="11906" w:h="16838"/>
      <w:pgMar w:top="1984" w:right="1474" w:bottom="1871" w:left="1587" w:header="851" w:footer="992" w:gutter="0"/>
      <w:pgNumType w:fmt="numberInDash"/>
      <w:docGrid w:type="lines" w:linePitch="316"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0"/>
    <w:family w:val="auto"/>
    <w:pitch w:val="variable"/>
    <w:sig w:usb0="00000203" w:usb1="288F0000" w:usb2="00000006" w:usb3="00000000" w:csb0="00040001" w:csb1="00000000"/>
  </w:font>
  <w:font w:name="Times New Roman">
    <w:panose1 w:val="02020603050405020304"/>
    <w:charset w:val="81"/>
    <w:family w:val="auto"/>
    <w:pitch w:val="variable"/>
    <w:sig w:usb0="E0002EFF" w:usb1="C000785B" w:usb2="00000009" w:usb3="00000000" w:csb0="400001FF" w:csb1="FFFF0000"/>
  </w:font>
  <w:font w:name="仿宋_GB2312">
    <w:panose1 w:val="02010609030101010101"/>
    <w:charset w:val="86"/>
    <w:family w:val="modern"/>
    <w:pitch w:val="variable"/>
    <w:sig w:usb0="00000001" w:usb1="080E0000" w:usb2="00000000" w:usb3="00000000" w:csb0="00040000" w:csb1="00000000"/>
  </w:font>
  <w:font w:name="方正小标宋简体">
    <w:altName w:val="仿宋_GB2312"/>
    <w:panose1 w:val="00000000000000000000"/>
    <w:charset w:val="86"/>
    <w:family w:val="auto"/>
    <w:pitch w:val="variable"/>
    <w:sig w:usb0="00000000" w:usb1="00000000" w:usb2="00000000" w:usb3="00000000" w:csb0="00040000" w:csb1="00000000"/>
  </w:font>
  <w:font w:name="Helvetica">
    <w:altName w:val="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200001FF" w:csb1="00000000"/>
  </w:font>
  <w:font w:name="黑体">
    <w:panose1 w:val="02010609060101010101"/>
    <w:charset w:val="86"/>
    <w:family w:val="auto"/>
    <w:pitch w:val="variable"/>
    <w:sig w:usb0="800002BF" w:usb1="38CF7CFA" w:usb2="00000016" w:usb3="00000000" w:csb0="00040001" w:csb1="00000000"/>
  </w:font>
  <w:font w:name="Courier New">
    <w:panose1 w:val="02070309020205020404"/>
    <w:charset w:val="01"/>
    <w:family w:val="modern"/>
    <w:pitch w:val="variable"/>
    <w:sig w:usb0="E0002E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tabs>
        <w:tab w:val="center" w:pos="4153"/>
        <w:tab w:val="right" w:pos="8306"/>
      </w:tabs>
    </w:pPr>
    <w:r>
      <mc:AlternateContent>
        <mc:Choice Requires="wps">
          <w:drawing>
            <wp:anchor distT="0" distB="0" distL="114298" distR="114298" simplePos="0" relativeHeight="19" behindDoc="0" locked="0" layoutInCell="1" hidden="0"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500" cy="230505"/>
                      </a:xfrm>
                      <a:prstGeom prst="rect"/>
                      <a:noFill/>
                      <a:ln w="9525" cmpd="sng" cap="flat">
                        <a:noFill/>
                        <a:prstDash val="solid"/>
                        <a:round/>
                      </a:ln>
                    </wps:spPr>
                    <wps:txbx id="2">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wps:txbx>
                    <wps:bodyPr vert="horz" wrap="none" lIns="0" tIns="0" rIns="0" bIns="0" anchor="t" anchorCtr="0" upright="0">
                      <a:spAutoFit/>
                    </wps:bodyPr>
                  </wps:wsp>
                </a:graphicData>
              </a:graphic>
            </wp:anchor>
          </w:drawing>
        </mc:Choice>
        <mc:Fallback>
          <w:pict>
            <v:rect type="#_x0000_t1" id="文本框 1 3" o:spid="_x0000_s3" filled="f" stroked="f" style="position:absolute;margin-left:0.0pt;margin-top:0.0pt;width:35.0pt;height:18.15pt;z-index:19;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21"/>
                      <w:tabs>
                        <w:tab w:val="center" w:pos="4153"/>
                        <w:tab w:val="right" w:pos="8306"/>
                      </w:tabs>
                      <w:rPr>
                        <w:rFonts w:ascii="宋体" w:cs="宋体"/>
                        <w:sz w:val="28"/>
                        <w:szCs w:val="28"/>
                      </w:rPr>
                    </w:pP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- 7 -</w:t>
                    </w:r>
                    <w:r>
                      <w:rPr>
                        <w:rFonts w:ascii="宋体" w:cs="宋体" w:hint="eastAsia"/>
                        <w:sz w:val="28"/>
                        <w:szCs w:val="28"/>
                      </w:rPr>
                      <w:fldChar w:fldCharType="end"/>
                    </w:r>
                  </w:p>
                </w:txbxContent>
              </v:textbox>
            </v:rect>
          </w:pict>
        </mc:Fallback>
      </mc:AlternateContent>
    </w:r>
    <w:r>
      <mc:AlternateContent>
        <mc:Choice Requires="wps">
          <w:drawing>
            <wp:anchor distT="0" distB="0" distL="114298" distR="114298" simplePos="0" relativeHeight="21" behindDoc="0" locked="0" layoutInCell="1" hidden="0" allowOverlap="1">
              <wp:simplePos x="0" y="0"/>
              <wp:positionH relativeFrom="margin">
                <wp:align>outside</wp:align>
              </wp:positionH>
              <wp:positionV relativeFrom="paragraph">
                <wp:posOffset>0</wp:posOffset>
              </wp:positionV>
              <wp:extent cx="9525" cy="139700"/>
              <wp:effectExtent l="0" t="0" r="0" b="0"/>
              <wp:wrapNone/>
              <wp:docPr id="4" name="文本框 2"/>
              <wp:cNvGraphicFramePr>
                <a:graphicFrameLocks noChangeAspect="0"/>
              </wp:cNvGraphicFramePr>
              <a:graphic>
                <a:graphicData uri="http://schemas.microsoft.com/office/word/2010/wordprocessingShape">
                  <wps:wsp>
                    <wps:cNvSpPr/>
                    <wps:spPr>
                      <a:xfrm rot="0">
                        <a:off x="0" y="0"/>
                        <a:ext cx="9525" cy="139700"/>
                      </a:xfrm>
                      <a:prstGeom prst="rect"/>
                      <a:noFill/>
                      <a:ln w="9525" cmpd="sng" cap="flat">
                        <a:noFill/>
                        <a:prstDash val="solid"/>
                        <a:round/>
                      </a:ln>
                    </wps:spPr>
                    <wps:txbx id="5">
                      <w:txbxContent>
                        <w:p>
                          <w:pPr>
                            <w:pStyle w:val="21"/>
                            <w:tabs>
                              <w:tab w:val="center" w:pos="4153"/>
                              <w:tab w:val="right" w:pos="8306"/>
                            </w:tabs>
                          </w:pPr>
                        </w:p>
                      </w:txbxContent>
                    </wps:txbx>
                    <wps:bodyPr vert="horz" wrap="none" lIns="0" tIns="0" rIns="0" bIns="0" anchor="t" anchorCtr="0" upright="0">
                      <a:spAutoFit/>
                    </wps:bodyPr>
                  </wps:wsp>
                </a:graphicData>
              </a:graphic>
            </wp:anchor>
          </w:drawing>
        </mc:Choice>
        <mc:Fallback>
          <w:pict>
            <v:rect type="#_x0000_t1" id="文本框 2 6" o:spid="_x0000_s6" filled="f" stroked="f" style="position:absolute;margin-left:0.0pt;margin-top:0.0pt;width:0.75pt;height:11.0pt;z-index:21;mso-position-horizontal:outside;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pStyle w:val="21"/>
                      <w:tabs>
                        <w:tab w:val="center" w:pos="4153"/>
                        <w:tab w:val="right" w:pos="8306"/>
                      </w:tabs>
                    </w:pPr>
                  </w:p>
                </w:txbxContent>
              </v:textbox>
            </v:rect>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docVars>
    <w:docVar w:name="commondata" w:val="eyJoZGlkIjoiMTM5MjczMTQyNjAwYmVmYTllMmM1MGM0MGU5MDlhZW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7"/>
    <w:rPr>
      <w:sz w:val="18"/>
      <w:szCs w:val="28"/>
    </w:rPr>
  </w:style>
  <w:style w:type="paragraph" w:styleId="16">
    <w:name w:val="Body Text First Indent"/>
    <w:basedOn w:val="15"/>
    <w:pPr>
      <w:spacing w:after="120"/>
      <w:ind w:firstLineChars="100" w:firstLine="100"/>
    </w:pPr>
    <w:rPr>
      <w:sz w:val="21"/>
      <w:szCs w:val="24"/>
    </w:rPr>
  </w:style>
  <w:style w:type="paragraph" w:customStyle="1" w:styleId="17">
    <w:name w:val="默认段落"/>
    <w:basedOn w:val="0"/>
    <w:pPr>
      <w:topLinePunct w:val="0"/>
    </w:pPr>
  </w:style>
  <w:style w:type="paragraph" w:styleId="18">
    <w:name w:val="Normal Indent"/>
    <w:basedOn w:val="0"/>
    <w:next w:val="26"/>
    <w:pPr>
      <w:widowControl w:val="0"/>
      <w:ind w:firstLine="420"/>
      <w:jc w:val="both"/>
    </w:pPr>
    <w:rPr>
      <w:rFonts w:ascii="Calibri" w:eastAsia="宋体" w:cs="Times New Roman" w:hAnsi="Calibri"/>
      <w:kern w:val="2"/>
      <w:sz w:val="21"/>
      <w:szCs w:val="24"/>
      <w:lang w:val="en-US" w:eastAsia="zh-CN" w:bidi="ar-SA"/>
    </w:rPr>
  </w:style>
  <w:style w:type="paragraph" w:styleId="19">
    <w:name w:val="toc 1"/>
    <w:basedOn w:val="0"/>
    <w:next w:val="0"/>
  </w:style>
  <w:style w:type="paragraph" w:styleId="20">
    <w:name w:val="Plain Text"/>
    <w:basedOn w:val="0"/>
    <w:rPr>
      <w:rFonts w:ascii="宋体" w:cs="Courier New"/>
      <w:szCs w:val="21"/>
    </w:rPr>
  </w:style>
  <w:style w:type="paragraph" w:styleId="21">
    <w:name w:val="footer"/>
    <w:basedOn w:val="0"/>
    <w:pPr>
      <w:tabs>
        <w:tab w:val="center" w:pos="4153"/>
        <w:tab w:val="right" w:pos="8306"/>
      </w:tabs>
      <w:snapToGrid w:val="0"/>
      <w:jc w:val="left"/>
    </w:pPr>
    <w:rPr>
      <w:sz w:val="18"/>
    </w:rPr>
  </w:style>
  <w:style w:type="paragraph" w:styleId="22">
    <w:name w:val="header"/>
    <w:basedOn w:val="0"/>
    <w:pPr>
      <w:pBdr>
        <w:bottom w:val="single" w:sz="6" w:space="1" w:color="auto"/>
      </w:pBdr>
      <w:tabs>
        <w:tab w:val="center" w:pos="4153"/>
        <w:tab w:val="right" w:pos="8306"/>
      </w:tabs>
      <w:snapToGrid w:val="0"/>
      <w:jc w:val="center"/>
    </w:pPr>
    <w:rPr>
      <w:sz w:val="18"/>
      <w:szCs w:val="18"/>
    </w:rPr>
  </w:style>
  <w:style w:type="character" w:styleId="23">
    <w:name w:val="Strong"/>
    <w:basedOn w:val="10"/>
    <w:rPr>
      <w:b/>
    </w:rPr>
  </w:style>
  <w:style w:type="character" w:customStyle="1" w:styleId="24">
    <w:name w:val="qowt-font4-gb2312"/>
    <w:basedOn w:val="10"/>
  </w:style>
  <w:style w:type="paragraph" w:styleId="25">
    <w:name w:val="toc 2"/>
    <w:basedOn w:val="0"/>
    <w:autoRedefine/>
    <w:next w:val="0"/>
    <w:pPr>
      <w:ind w:left="420"/>
    </w:pPr>
  </w:style>
  <w:style w:type="paragraph" w:styleId="26">
    <w:name w:val="index 9"/>
    <w:basedOn w:val="0"/>
    <w:autoRedefine/>
    <w:next w:val="0"/>
    <w:pPr>
      <w:ind w:left="336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624</TotalTime>
  <Application>Yozo_Office27021597764231179</Application>
  <Pages>4</Pages>
  <Words>2022</Words>
  <Characters>2120</Characters>
  <Lines>87</Lines>
  <Paragraphs>16</Paragraphs>
  <CharactersWithSpaces>2125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雯</dc:creator>
  <cp:lastModifiedBy>dell</cp:lastModifiedBy>
  <cp:revision>353</cp:revision>
  <cp:lastPrinted>2021-03-22T09:10:00Z</cp:lastPrinted>
  <dcterms:created xsi:type="dcterms:W3CDTF">2020-12-16T06:31:00Z</dcterms:created>
  <dcterms:modified xsi:type="dcterms:W3CDTF">2023-01-30T01:06:48Z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AC57DD210C57429B8AB02D601FBC16AB</vt:lpwstr>
  </property>
</Properties>
</file>