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cs="宋体"/>
          <w:color w:val="000000"/>
          <w:sz w:val="32"/>
          <w:szCs w:val="32"/>
        </w:rPr>
      </w:pPr>
      <w:r>
        <w:rPr>
          <w:rFonts w:hint="eastAsia" w:ascii="Times New Roman" w:hAnsi="Times New Roman" w:cs="宋体"/>
          <w:color w:val="000000"/>
          <w:sz w:val="32"/>
          <w:szCs w:val="32"/>
        </w:rPr>
        <w:t xml:space="preserve"> </w:t>
      </w:r>
    </w:p>
    <w:p>
      <w:pPr>
        <w:wordWrap w:val="0"/>
        <w:spacing w:before="158" w:beforeLines="50" w:line="700" w:lineRule="exact"/>
        <w:jc w:val="right"/>
        <w:rPr>
          <w:rFonts w:ascii="Times New Roman" w:hAnsi="Times New Roman" w:cs="宋体"/>
          <w:color w:val="000000"/>
          <w:sz w:val="32"/>
          <w:szCs w:val="32"/>
        </w:rPr>
      </w:pPr>
      <w:r>
        <w:rPr>
          <w:rFonts w:hint="eastAsia" w:ascii="Times New Roman" w:hAnsi="Times New Roman" w:eastAsia="仿宋_GB2312" w:cs="仿宋_GB2312"/>
          <w:color w:val="000000"/>
          <w:sz w:val="32"/>
          <w:szCs w:val="32"/>
        </w:rPr>
        <w:t xml:space="preserve"> 秦审批环准许〔202</w:t>
      </w:r>
      <w:r>
        <w:rPr>
          <w:rFonts w:ascii="Times New Roman" w:hAnsi="Times New Roman" w:eastAsia="仿宋_GB2312" w:cs="仿宋_GB2312"/>
          <w:color w:val="000000"/>
          <w:sz w:val="32"/>
          <w:szCs w:val="32"/>
        </w:rPr>
        <w:t>2</w:t>
      </w:r>
      <w:r>
        <w:rPr>
          <w:rFonts w:hint="eastAsia" w:ascii="Times New Roman" w:hAnsi="Times New Roman" w:eastAsia="仿宋_GB2312" w:cs="仿宋_GB2312"/>
          <w:color w:val="000000"/>
          <w:sz w:val="32"/>
          <w:szCs w:val="32"/>
        </w:rPr>
        <w:t>〕0</w:t>
      </w:r>
      <w:r>
        <w:rPr>
          <w:rFonts w:ascii="Times New Roman" w:hAnsi="Times New Roman" w:eastAsia="仿宋_GB2312" w:cs="仿宋_GB2312"/>
          <w:color w:val="000000"/>
          <w:sz w:val="32"/>
          <w:szCs w:val="32"/>
          <w:lang w:val="en-US" w:eastAsia="zh-CN"/>
        </w:rPr>
        <w:t>1</w:t>
      </w:r>
      <w:r>
        <w:rPr>
          <w:rFonts w:hint="eastAsia" w:ascii="Times New Roman" w:hAnsi="Times New Roman" w:eastAsia="仿宋_GB2312" w:cs="仿宋_GB2312"/>
          <w:color w:val="000000"/>
          <w:sz w:val="32"/>
          <w:szCs w:val="32"/>
        </w:rPr>
        <w:t>-00</w:t>
      </w:r>
      <w:r>
        <w:rPr>
          <w:rFonts w:hint="eastAsia" w:ascii="Times New Roman" w:hAnsi="Times New Roman" w:eastAsia="仿宋_GB2312" w:cs="仿宋_GB2312"/>
          <w:color w:val="000000"/>
          <w:sz w:val="32"/>
          <w:szCs w:val="32"/>
          <w:lang w:val="en-US" w:eastAsia="zh-CN"/>
        </w:rPr>
        <w:t>1</w:t>
      </w:r>
      <w:r>
        <w:rPr>
          <w:rFonts w:ascii="Times New Roman" w:hAnsi="Times New Roman" w:eastAsia="仿宋_GB2312" w:cs="仿宋_GB2312"/>
          <w:color w:val="000000"/>
          <w:sz w:val="32"/>
          <w:szCs w:val="32"/>
          <w:lang w:val="en-US" w:eastAsia="zh-CN"/>
        </w:rPr>
        <w:t>0</w:t>
      </w:r>
      <w:r>
        <w:rPr>
          <w:rFonts w:hint="eastAsia" w:ascii="Times New Roman" w:hAnsi="Times New Roman" w:eastAsia="仿宋_GB2312" w:cs="仿宋_GB2312"/>
          <w:color w:val="000000"/>
          <w:sz w:val="32"/>
          <w:szCs w:val="32"/>
        </w:rPr>
        <w:t>号</w:t>
      </w:r>
    </w:p>
    <w:p>
      <w:pPr>
        <w:spacing w:line="560" w:lineRule="exact"/>
        <w:jc w:val="center"/>
        <w:rPr>
          <w:rFonts w:ascii="宋体" w:cs="宋体"/>
          <w:b/>
          <w:bCs/>
          <w:color w:val="000000"/>
          <w:spacing w:val="-2"/>
          <w:kern w:val="0"/>
          <w:sz w:val="44"/>
          <w:szCs w:val="44"/>
          <w:shd w:val="clear" w:color="auto" w:fill="FFFFFF"/>
        </w:rPr>
      </w:pPr>
      <w:r>
        <w:rPr>
          <w:rFonts w:hint="eastAsia" w:ascii="宋体" w:cs="宋体"/>
          <w:b/>
          <w:bCs/>
          <w:color w:val="000000"/>
          <w:spacing w:val="-2"/>
          <w:kern w:val="0"/>
          <w:sz w:val="44"/>
          <w:szCs w:val="44"/>
          <w:shd w:val="clear" w:color="auto" w:fill="FFFFFF"/>
        </w:rPr>
        <w:t>关于《</w:t>
      </w:r>
      <w:r>
        <w:rPr>
          <w:rFonts w:ascii="宋体" w:cs="宋体"/>
          <w:b/>
          <w:bCs/>
          <w:color w:val="000000"/>
          <w:spacing w:val="-2"/>
          <w:kern w:val="0"/>
          <w:sz w:val="44"/>
          <w:szCs w:val="44"/>
          <w:shd w:val="clear" w:color="auto" w:fill="FFFFFF"/>
        </w:rPr>
        <w:t>秦皇岛华恒生物工程有限公司</w:t>
      </w:r>
    </w:p>
    <w:p>
      <w:pPr>
        <w:spacing w:line="560" w:lineRule="exact"/>
        <w:jc w:val="center"/>
        <w:rPr>
          <w:rFonts w:ascii="宋体" w:cs="宋体"/>
          <w:b/>
          <w:bCs/>
          <w:color w:val="000000"/>
          <w:spacing w:val="-2"/>
          <w:kern w:val="0"/>
          <w:sz w:val="44"/>
          <w:szCs w:val="44"/>
          <w:shd w:val="clear" w:color="auto" w:fill="FFFFFF"/>
        </w:rPr>
      </w:pPr>
      <w:r>
        <w:rPr>
          <w:rFonts w:ascii="宋体" w:cs="宋体"/>
          <w:b/>
          <w:bCs/>
          <w:color w:val="000000"/>
          <w:spacing w:val="-2"/>
          <w:kern w:val="0"/>
          <w:sz w:val="44"/>
          <w:szCs w:val="44"/>
          <w:shd w:val="clear" w:color="auto" w:fill="FFFFFF"/>
        </w:rPr>
        <w:t>beta-丙氨酸项目</w:t>
      </w:r>
      <w:r>
        <w:rPr>
          <w:rFonts w:hint="eastAsia" w:ascii="宋体" w:cs="宋体"/>
          <w:b/>
          <w:bCs/>
          <w:color w:val="000000"/>
          <w:spacing w:val="-2"/>
          <w:kern w:val="0"/>
          <w:sz w:val="44"/>
          <w:szCs w:val="44"/>
          <w:shd w:val="clear" w:color="auto" w:fill="FFFFFF"/>
        </w:rPr>
        <w:t>环境影响报告</w:t>
      </w:r>
      <w:r>
        <w:rPr>
          <w:rFonts w:ascii="宋体" w:cs="宋体"/>
          <w:b/>
          <w:bCs/>
          <w:color w:val="000000"/>
          <w:spacing w:val="-2"/>
          <w:kern w:val="0"/>
          <w:sz w:val="44"/>
          <w:szCs w:val="44"/>
          <w:shd w:val="clear" w:color="auto" w:fill="FFFFFF"/>
          <w:lang w:eastAsia="zh-CN"/>
        </w:rPr>
        <w:t>书</w:t>
      </w:r>
      <w:r>
        <w:rPr>
          <w:rFonts w:hint="eastAsia" w:ascii="宋体" w:cs="宋体"/>
          <w:b/>
          <w:bCs/>
          <w:color w:val="000000"/>
          <w:spacing w:val="-2"/>
          <w:kern w:val="0"/>
          <w:sz w:val="44"/>
          <w:szCs w:val="44"/>
          <w:shd w:val="clear" w:color="auto" w:fill="FFFFFF"/>
        </w:rPr>
        <w:t>》的批复</w:t>
      </w:r>
    </w:p>
    <w:p>
      <w:pPr>
        <w:spacing w:line="560" w:lineRule="exact"/>
        <w:jc w:val="center"/>
        <w:rPr>
          <w:rFonts w:ascii="Times New Roman" w:hAnsi="Times New Roman" w:eastAsia="仿宋_GB2312" w:cs="仿宋_GB2312"/>
          <w:color w:val="000000"/>
          <w:kern w:val="0"/>
          <w:sz w:val="32"/>
          <w:szCs w:val="32"/>
          <w:shd w:val="clear" w:color="auto" w:fill="FFFFFF"/>
        </w:rPr>
      </w:pPr>
      <w:r>
        <w:rPr>
          <w:rFonts w:hint="eastAsia" w:ascii="Times New Roman" w:hAnsi="Times New Roman" w:eastAsia="方正小标宋简体" w:cs="方正小标宋简体"/>
          <w:color w:val="000000"/>
          <w:sz w:val="44"/>
          <w:szCs w:val="44"/>
        </w:rPr>
        <mc:AlternateContent>
          <mc:Choice Requires="wps">
            <w:drawing>
              <wp:anchor distT="0" distB="0" distL="113665" distR="113665" simplePos="0" relativeHeight="251659264" behindDoc="0" locked="0" layoutInCell="0" hidden="1" allowOverlap="1">
                <wp:simplePos x="0" y="0"/>
                <wp:positionH relativeFrom="page">
                  <wp:posOffset>735965</wp:posOffset>
                </wp:positionH>
                <wp:positionV relativeFrom="page">
                  <wp:posOffset>9937115</wp:posOffset>
                </wp:positionV>
                <wp:extent cx="6083935" cy="635"/>
                <wp:effectExtent l="0" t="0" r="0" b="0"/>
                <wp:wrapTopAndBottom/>
                <wp:docPr id="7" name="直接连接符 3" hidden="1"/>
                <wp:cNvGraphicFramePr/>
                <a:graphic xmlns:a="http://schemas.openxmlformats.org/drawingml/2006/main">
                  <a:graphicData uri="http://schemas.microsoft.com/office/word/2010/wordprocessingShape">
                    <wps:wsp>
                      <wps:cNvCnPr/>
                      <wps:spPr>
                        <a:xfrm>
                          <a:off x="0" y="0"/>
                          <a:ext cx="6083935" cy="951"/>
                        </a:xfrm>
                        <a:prstGeom prst="line">
                          <a:avLst/>
                        </a:prstGeom>
                        <a:noFill/>
                        <a:ln w="69850" cap="flat" cmpd="thinThick">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接连接符 3" o:spid="_x0000_s1026" o:spt="20" style="position:absolute;left:0pt;margin-left:57.95pt;margin-top:782.45pt;height:0.05pt;width:479.05pt;mso-position-horizontal-relative:page;mso-position-vertical-relative:page;mso-wrap-distance-bottom:0pt;mso-wrap-distance-top:0pt;visibility:hidden;z-index:251659264;mso-width-relative:page;mso-height-relative:page;" filled="f" stroked="t" coordsize="21600,21600" o:allowincell="f" o:gfxdata="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h+YXnZAAAADgEAAA8AAAAAAAAAAQAgAAAAIgAAAGRycy9kb3ducmV2Lnht&#10;bFBLAQIUABQAAAAIAIdO4kDEswS9MQIAADoEAAAOAAAAAAAAAAEAIAAAACgBAABkcnMvZTJvRG9j&#10;LnhtbFBLBQYAAAAABgAGAFkBAADLBQAAAAA=&#10;">
                <v:fill on="f" focussize="0,0"/>
                <v:stroke weight="5.5pt" color="#FF0000" linestyle="thinThick" joinstyle="round"/>
                <v:imagedata o:title=""/>
                <o:lock v:ext="edit" aspectratio="f"/>
                <w10:wrap type="topAndBottom"/>
              </v:line>
            </w:pict>
          </mc:Fallback>
        </mc:AlternateContent>
      </w:r>
      <w:r>
        <w:rPr>
          <w:rFonts w:hint="eastAsia" w:ascii="Times New Roman" w:hAnsi="Times New Roman" w:eastAsia="方正小标宋简体" w:cs="方正小标宋简体"/>
          <w:color w:val="000000"/>
          <w:sz w:val="44"/>
          <w:szCs w:val="44"/>
        </w:rPr>
        <mc:AlternateContent>
          <mc:Choice Requires="wps">
            <w:drawing>
              <wp:anchor distT="0" distB="0" distL="113665" distR="113665" simplePos="0" relativeHeight="251659264" behindDoc="0" locked="0" layoutInCell="0" hidden="1" allowOverlap="1">
                <wp:simplePos x="0" y="0"/>
                <wp:positionH relativeFrom="column">
                  <wp:posOffset>-274955</wp:posOffset>
                </wp:positionH>
                <wp:positionV relativeFrom="margin">
                  <wp:posOffset>445770</wp:posOffset>
                </wp:positionV>
                <wp:extent cx="6083935" cy="635"/>
                <wp:effectExtent l="0" t="0" r="0" b="0"/>
                <wp:wrapTopAndBottom/>
                <wp:docPr id="9" name="直接连接符 4" hidden="1"/>
                <wp:cNvGraphicFramePr/>
                <a:graphic xmlns:a="http://schemas.openxmlformats.org/drawingml/2006/main">
                  <a:graphicData uri="http://schemas.microsoft.com/office/word/2010/wordprocessingShape">
                    <wps:wsp>
                      <wps:cNvCnPr/>
                      <wps:spPr>
                        <a:xfrm>
                          <a:off x="0" y="0"/>
                          <a:ext cx="6083935" cy="952"/>
                        </a:xfrm>
                        <a:prstGeom prst="line">
                          <a:avLst/>
                        </a:prstGeom>
                        <a:noFill/>
                        <a:ln w="69850" cap="flat" cmpd="thickThin">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接连接符 4" o:spid="_x0000_s1026" o:spt="20" style="position:absolute;left:0pt;margin-left:-21.65pt;margin-top:35.1pt;height:0.05pt;width:479.05pt;mso-position-vertical-relative:margin;mso-wrap-distance-bottom:0pt;mso-wrap-distance-top:0pt;visibility:hidden;z-index:251659264;mso-width-relative:page;mso-height-relative:page;" filled="f" stroked="t" coordsize="21600,21600" o:allowincell="f" o:gfxdata="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H7zc9YAAAAJAQAADwAAAAAAAAABACAAAAAiAAAAZHJzL2Rvd25yZXYueG1sUEsB&#10;AhQAFAAAAAgAh07iQOC9nXEwAgAAOgQAAA4AAAAAAAAAAQAgAAAAJQEAAGRycy9lMm9Eb2MueG1s&#10;UEsFBgAAAAAGAAYAWQEAAMcFAAAAAA==&#10;">
                <v:fill on="f" focussize="0,0"/>
                <v:stroke weight="5.5pt" color="#FF0000" linestyle="thickThin" joinstyle="round"/>
                <v:imagedata o:title=""/>
                <o:lock v:ext="edit" aspectratio="f"/>
                <w10:wrap type="topAndBottom"/>
              </v:line>
            </w:pict>
          </mc:Fallback>
        </mc:AlternateContent>
      </w:r>
    </w:p>
    <w:p>
      <w:pPr>
        <w:keepNext w:val="0"/>
        <w:keepLines w:val="0"/>
        <w:pageBreakBefore w:val="0"/>
        <w:widowControl w:val="0"/>
        <w:kinsoku/>
        <w:wordWrap/>
        <w:overflowPunct/>
        <w:topLinePunct w:val="0"/>
        <w:autoSpaceDE w:val="0"/>
        <w:autoSpaceDN w:val="0"/>
        <w:bidi w:val="0"/>
        <w:adjustRightInd w:val="0"/>
        <w:snapToGrid w:val="0"/>
        <w:spacing w:line="560" w:lineRule="exact"/>
        <w:rPr>
          <w:rFonts w:ascii="仿宋_GB2312" w:eastAsia="仿宋_GB2312" w:cs="仿宋_GB2312"/>
          <w:color w:val="000000"/>
          <w:spacing w:val="0"/>
          <w:kern w:val="0"/>
          <w:sz w:val="32"/>
          <w:szCs w:val="32"/>
          <w:shd w:val="clear" w:color="auto" w:fill="FFFFFF"/>
        </w:rPr>
      </w:pPr>
      <w:r>
        <w:rPr>
          <w:rFonts w:ascii="仿宋_GB2312" w:eastAsia="仿宋_GB2312" w:cs="仿宋_GB2312"/>
          <w:bCs/>
          <w:color w:val="000000"/>
          <w:kern w:val="0"/>
          <w:sz w:val="32"/>
          <w:szCs w:val="32"/>
          <w:shd w:val="clear" w:color="auto" w:fill="FFFFFF"/>
        </w:rPr>
        <w:t>秦皇岛华恒生物工程有限公司</w:t>
      </w:r>
      <w:r>
        <w:rPr>
          <w:rFonts w:hint="eastAsia" w:ascii="仿宋_GB2312" w:eastAsia="仿宋_GB2312" w:cs="仿宋_GB2312"/>
          <w:color w:val="000000"/>
          <w:spacing w:val="0"/>
          <w:kern w:val="0"/>
          <w:sz w:val="32"/>
          <w:szCs w:val="32"/>
          <w:shd w:val="clear" w:color="auto" w:fill="FFFFFF"/>
        </w:rPr>
        <w:t>：</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ascii="仿宋_GB2312" w:eastAsia="仿宋_GB2312" w:cs="仿宋_GB2312"/>
          <w:color w:val="000000"/>
          <w:spacing w:val="0"/>
          <w:kern w:val="0"/>
          <w:sz w:val="32"/>
          <w:szCs w:val="32"/>
          <w:shd w:val="clear" w:color="auto" w:fill="FFFFFF"/>
        </w:rPr>
      </w:pPr>
      <w:r>
        <w:rPr>
          <w:rFonts w:hint="eastAsia" w:ascii="仿宋_GB2312" w:eastAsia="仿宋_GB2312" w:cs="仿宋_GB2312"/>
          <w:color w:val="000000"/>
          <w:spacing w:val="0"/>
          <w:kern w:val="0"/>
          <w:sz w:val="32"/>
          <w:szCs w:val="32"/>
          <w:shd w:val="clear" w:color="auto" w:fill="FFFFFF"/>
        </w:rPr>
        <w:t>所报</w:t>
      </w:r>
      <w:r>
        <w:rPr>
          <w:rFonts w:hint="eastAsia" w:ascii="仿宋_GB2312" w:eastAsia="仿宋_GB2312" w:cs="仿宋_GB2312"/>
          <w:bCs/>
          <w:color w:val="000000"/>
          <w:kern w:val="0"/>
          <w:sz w:val="32"/>
          <w:szCs w:val="32"/>
          <w:shd w:val="clear" w:color="auto" w:fill="FFFFFF"/>
        </w:rPr>
        <w:t>《</w:t>
      </w:r>
      <w:r>
        <w:rPr>
          <w:rFonts w:ascii="仿宋_GB2312" w:eastAsia="仿宋_GB2312" w:cs="仿宋_GB2312"/>
          <w:bCs/>
          <w:color w:val="000000"/>
          <w:kern w:val="0"/>
          <w:sz w:val="32"/>
          <w:szCs w:val="32"/>
          <w:shd w:val="clear" w:color="auto" w:fill="FFFFFF"/>
        </w:rPr>
        <w:t>秦皇岛华恒生物工程有限公司beta-丙氨酸项目</w:t>
      </w:r>
      <w:r>
        <w:rPr>
          <w:rFonts w:hint="eastAsia" w:ascii="仿宋_GB2312" w:eastAsia="仿宋_GB2312" w:cs="仿宋_GB2312"/>
          <w:bCs/>
          <w:color w:val="000000"/>
          <w:kern w:val="0"/>
          <w:sz w:val="32"/>
          <w:szCs w:val="32"/>
          <w:shd w:val="clear" w:color="auto" w:fill="FFFFFF"/>
        </w:rPr>
        <w:t>环境影响报告</w:t>
      </w:r>
      <w:r>
        <w:rPr>
          <w:rFonts w:ascii="仿宋_GB2312" w:eastAsia="仿宋_GB2312" w:cs="仿宋_GB2312"/>
          <w:bCs/>
          <w:color w:val="000000"/>
          <w:kern w:val="0"/>
          <w:sz w:val="32"/>
          <w:szCs w:val="32"/>
          <w:shd w:val="clear" w:color="auto" w:fill="FFFFFF"/>
          <w:lang w:eastAsia="zh-CN"/>
        </w:rPr>
        <w:t>书</w:t>
      </w:r>
      <w:r>
        <w:rPr>
          <w:rFonts w:hint="eastAsia" w:ascii="仿宋_GB2312" w:eastAsia="仿宋_GB2312" w:cs="仿宋_GB2312"/>
          <w:bCs/>
          <w:color w:val="000000"/>
          <w:kern w:val="0"/>
          <w:sz w:val="32"/>
          <w:szCs w:val="32"/>
          <w:shd w:val="clear" w:color="auto" w:fill="FFFFFF"/>
        </w:rPr>
        <w:t>》</w:t>
      </w:r>
      <w:r>
        <w:rPr>
          <w:rFonts w:hint="eastAsia" w:ascii="仿宋_GB2312" w:eastAsia="仿宋_GB2312" w:cs="仿宋_GB2312"/>
          <w:color w:val="000000"/>
          <w:spacing w:val="0"/>
          <w:kern w:val="0"/>
          <w:sz w:val="32"/>
          <w:szCs w:val="32"/>
          <w:shd w:val="clear" w:color="auto" w:fill="FFFFFF"/>
        </w:rPr>
        <w:t>(以下简称《报告书》)及相关申报材料收悉</w:t>
      </w:r>
      <w:r>
        <w:rPr>
          <w:rFonts w:hint="eastAsia" w:ascii="仿宋_GB2312" w:eastAsia="仿宋_GB2312" w:cs="仿宋_GB2312"/>
          <w:color w:val="000000"/>
          <w:spacing w:val="0"/>
          <w:kern w:val="0"/>
          <w:sz w:val="32"/>
          <w:szCs w:val="32"/>
          <w:shd w:val="clear" w:color="auto" w:fill="FFFFFF"/>
          <w:lang w:eastAsia="zh-CN"/>
        </w:rPr>
        <w:t>，</w:t>
      </w:r>
      <w:r>
        <w:rPr>
          <w:rFonts w:hint="eastAsia" w:ascii="仿宋" w:hAnsi="仿宋" w:eastAsia="仿宋_GB2312"/>
          <w:color w:val="000000"/>
          <w:spacing w:val="0"/>
          <w:kern w:val="0"/>
          <w:sz w:val="32"/>
          <w:szCs w:val="32"/>
        </w:rPr>
        <w:t>根据环评报告</w:t>
      </w:r>
      <w:r>
        <w:rPr>
          <w:rFonts w:ascii="仿宋" w:hAnsi="仿宋" w:eastAsia="仿宋_GB2312"/>
          <w:color w:val="000000"/>
          <w:spacing w:val="0"/>
          <w:kern w:val="0"/>
          <w:sz w:val="32"/>
          <w:szCs w:val="32"/>
          <w:lang w:eastAsia="zh-CN"/>
        </w:rPr>
        <w:t>书</w:t>
      </w:r>
      <w:r>
        <w:rPr>
          <w:rFonts w:hint="eastAsia" w:ascii="仿宋" w:hAnsi="仿宋" w:eastAsia="仿宋_GB2312"/>
          <w:color w:val="000000"/>
          <w:spacing w:val="0"/>
          <w:kern w:val="0"/>
          <w:sz w:val="32"/>
          <w:szCs w:val="32"/>
        </w:rPr>
        <w:t>结论、专家意见，结合</w:t>
      </w:r>
      <w:r>
        <w:rPr>
          <w:rFonts w:hint="eastAsia" w:ascii="仿宋" w:hAnsi="仿宋" w:eastAsia="仿宋_GB2312"/>
          <w:color w:val="000000"/>
          <w:spacing w:val="0"/>
          <w:kern w:val="0"/>
          <w:sz w:val="32"/>
          <w:szCs w:val="32"/>
          <w:lang w:val="en-US" w:eastAsia="zh-CN"/>
        </w:rPr>
        <w:t>项目</w:t>
      </w:r>
      <w:r>
        <w:rPr>
          <w:rFonts w:hint="eastAsia" w:ascii="仿宋" w:hAnsi="仿宋" w:eastAsia="仿宋_GB2312"/>
          <w:color w:val="000000"/>
          <w:spacing w:val="0"/>
          <w:kern w:val="0"/>
          <w:sz w:val="32"/>
          <w:szCs w:val="32"/>
        </w:rPr>
        <w:t>环境影响特点及</w:t>
      </w:r>
      <w:r>
        <w:rPr>
          <w:rFonts w:hint="eastAsia" w:ascii="仿宋" w:hAnsi="仿宋" w:eastAsia="仿宋_GB2312"/>
          <w:color w:val="000000"/>
          <w:spacing w:val="0"/>
          <w:kern w:val="0"/>
          <w:sz w:val="32"/>
          <w:szCs w:val="32"/>
          <w:lang w:val="en-US" w:eastAsia="zh-CN"/>
        </w:rPr>
        <w:t>公示反馈</w:t>
      </w:r>
      <w:r>
        <w:rPr>
          <w:rFonts w:hint="eastAsia" w:ascii="仿宋" w:hAnsi="仿宋" w:eastAsia="仿宋_GB2312"/>
          <w:color w:val="000000"/>
          <w:spacing w:val="0"/>
          <w:kern w:val="0"/>
          <w:sz w:val="32"/>
          <w:szCs w:val="32"/>
          <w:lang w:eastAsia="zh-CN"/>
        </w:rPr>
        <w:t>等方面情况</w:t>
      </w:r>
      <w:r>
        <w:rPr>
          <w:rFonts w:hint="eastAsia" w:ascii="仿宋" w:hAnsi="仿宋" w:eastAsia="仿宋_GB2312"/>
          <w:color w:val="000000"/>
          <w:spacing w:val="0"/>
          <w:kern w:val="0"/>
          <w:sz w:val="32"/>
          <w:szCs w:val="32"/>
        </w:rPr>
        <w:t>，经研究，现批复如下：</w:t>
      </w:r>
    </w:p>
    <w:p>
      <w:pPr>
        <w:keepNext w:val="0"/>
        <w:keepLines w:val="0"/>
        <w:pageBreakBefore w:val="0"/>
        <w:widowControl w:val="0"/>
        <w:kinsoku/>
        <w:wordWrap/>
        <w:overflowPunct/>
        <w:topLinePunct w:val="0"/>
        <w:autoSpaceDE/>
        <w:autoSpaceDN/>
        <w:adjustRightInd w:val="0"/>
        <w:snapToGrid w:val="0"/>
        <w:spacing w:line="560" w:lineRule="exact"/>
        <w:ind w:firstLine="640" w:firstLineChars="200"/>
        <w:rPr>
          <w:rFonts w:ascii="仿宋_GB2312" w:eastAsia="仿宋_GB2312" w:cs="仿宋_GB2312"/>
          <w:bCs/>
          <w:color w:val="000000"/>
          <w:spacing w:val="0"/>
          <w:kern w:val="0"/>
          <w:sz w:val="32"/>
          <w:szCs w:val="32"/>
          <w:shd w:val="clear" w:color="auto" w:fill="FFFFFF"/>
        </w:rPr>
      </w:pPr>
      <w:r>
        <w:rPr>
          <w:rFonts w:ascii="仿宋_GB2312" w:eastAsia="仿宋_GB2312" w:cs="仿宋_GB2312"/>
          <w:color w:val="000000"/>
          <w:spacing w:val="0"/>
          <w:kern w:val="0"/>
          <w:sz w:val="32"/>
          <w:szCs w:val="32"/>
          <w:shd w:val="clear" w:color="auto" w:fill="FFFFFF"/>
        </w:rPr>
        <w:t>一、</w:t>
      </w:r>
      <w:r>
        <w:rPr>
          <w:rFonts w:hint="eastAsia" w:ascii="仿宋_GB2312" w:eastAsia="仿宋_GB2312" w:cs="仿宋_GB2312"/>
          <w:color w:val="000000"/>
          <w:spacing w:val="0"/>
          <w:kern w:val="0"/>
          <w:sz w:val="32"/>
          <w:szCs w:val="32"/>
          <w:shd w:val="clear" w:color="auto" w:fill="FFFFFF"/>
        </w:rPr>
        <w:t>项目建设内容和总体要求</w:t>
      </w:r>
      <w:r>
        <w:rPr>
          <w:rFonts w:ascii="仿宋_GB2312" w:eastAsia="仿宋_GB2312" w:cs="仿宋_GB2312"/>
          <w:color w:val="000000"/>
          <w:spacing w:val="0"/>
          <w:kern w:val="0"/>
          <w:sz w:val="32"/>
          <w:szCs w:val="32"/>
          <w:shd w:val="clear" w:color="auto" w:fill="FFFFFF"/>
        </w:rPr>
        <w:t>。</w:t>
      </w:r>
      <w:r>
        <w:rPr>
          <w:rFonts w:hint="eastAsia" w:ascii="仿宋_GB2312" w:eastAsia="仿宋_GB2312" w:cs="仿宋_GB2312"/>
          <w:bCs/>
          <w:color w:val="000000"/>
          <w:spacing w:val="0"/>
          <w:kern w:val="0"/>
          <w:sz w:val="32"/>
          <w:szCs w:val="32"/>
          <w:shd w:val="clear" w:color="auto" w:fill="FFFFFF"/>
          <w:lang w:eastAsia="zh-CN"/>
        </w:rPr>
        <w:t>该项目位于</w:t>
      </w:r>
      <w:r>
        <w:rPr>
          <w:rFonts w:ascii="仿宋_GB2312" w:eastAsia="仿宋_GB2312" w:cs="仿宋_GB2312"/>
          <w:bCs/>
          <w:color w:val="000000"/>
          <w:spacing w:val="0"/>
          <w:kern w:val="0"/>
          <w:sz w:val="32"/>
          <w:szCs w:val="32"/>
          <w:shd w:val="clear" w:color="auto" w:fill="FFFFFF"/>
          <w:lang w:eastAsia="zh-CN"/>
        </w:rPr>
        <w:t>秦皇岛华恒生物工程有限公司现有厂区内,新增beta-丙氨酸生产线一条，年产beta-丙氨酸5000吨。项目总投资5000万元。其中环保投资100万元，环保投资占总投资比例为2%。</w:t>
      </w:r>
      <w:r>
        <w:rPr>
          <w:rFonts w:ascii="仿宋_GB2312" w:eastAsia="仿宋_GB2312" w:cs="仿宋_GB2312"/>
          <w:color w:val="000000"/>
          <w:kern w:val="0"/>
          <w:sz w:val="32"/>
          <w:szCs w:val="32"/>
          <w:shd w:val="clear" w:color="auto" w:fill="FFFFFF"/>
          <w:lang w:eastAsia="zh-CN"/>
        </w:rPr>
        <w:t>项目须符合国家及地方产业政策。</w:t>
      </w:r>
      <w:r>
        <w:rPr>
          <w:rFonts w:ascii="仿宋_GB2312" w:eastAsia="仿宋_GB2312" w:cs="仿宋_GB2312"/>
          <w:color w:val="000000"/>
          <w:kern w:val="0"/>
          <w:sz w:val="32"/>
          <w:szCs w:val="32"/>
          <w:shd w:val="clear" w:color="auto" w:fill="FFFFFF"/>
        </w:rPr>
        <w:t>项目实施须符</w:t>
      </w:r>
      <w:r>
        <w:rPr>
          <w:rFonts w:hint="eastAsia" w:ascii="仿宋_GB2312" w:eastAsia="仿宋_GB2312" w:cs="仿宋_GB2312"/>
          <w:color w:val="000000"/>
          <w:spacing w:val="0"/>
          <w:kern w:val="0"/>
          <w:sz w:val="32"/>
          <w:szCs w:val="32"/>
        </w:rPr>
        <w:t>合规划环评、“三线一单”空间管控要求；项目建设须符合城乡建设、土地利用</w:t>
      </w:r>
      <w:r>
        <w:rPr>
          <w:rFonts w:hint="eastAsia" w:ascii="仿宋_GB2312" w:eastAsia="仿宋_GB2312" w:cs="仿宋_GB2312"/>
          <w:color w:val="000000"/>
          <w:spacing w:val="0"/>
          <w:kern w:val="0"/>
          <w:sz w:val="32"/>
          <w:szCs w:val="32"/>
          <w:lang w:eastAsia="zh-CN"/>
        </w:rPr>
        <w:t>、地方产业布局</w:t>
      </w:r>
      <w:r>
        <w:rPr>
          <w:rFonts w:hint="eastAsia" w:ascii="仿宋_GB2312" w:eastAsia="仿宋_GB2312" w:cs="仿宋_GB2312"/>
          <w:color w:val="000000"/>
          <w:spacing w:val="0"/>
          <w:kern w:val="0"/>
          <w:sz w:val="32"/>
          <w:szCs w:val="32"/>
        </w:rPr>
        <w:t>等相关规划要求。</w:t>
      </w:r>
      <w:r>
        <w:rPr>
          <w:rFonts w:hint="eastAsia" w:ascii="仿宋_GB2312" w:eastAsia="仿宋_GB2312" w:cs="仿宋_GB2312"/>
          <w:color w:val="000000"/>
          <w:spacing w:val="0"/>
          <w:kern w:val="0"/>
          <w:sz w:val="32"/>
          <w:szCs w:val="32"/>
          <w:shd w:val="clear" w:color="auto" w:fill="FFFFFF"/>
          <w:lang w:eastAsia="zh-CN"/>
        </w:rPr>
        <w:t>项目须满足</w:t>
      </w:r>
      <w:r>
        <w:rPr>
          <w:rFonts w:hint="eastAsia" w:ascii="仿宋_GB2312" w:eastAsia="仿宋_GB2312" w:cs="仿宋_GB2312"/>
          <w:color w:val="000000"/>
          <w:kern w:val="0"/>
          <w:sz w:val="32"/>
          <w:szCs w:val="32"/>
          <w:shd w:val="clear" w:color="auto" w:fill="FFFFFF"/>
          <w:lang w:eastAsia="zh-CN"/>
        </w:rPr>
        <w:t>《秦皇岛市人民政府关于秦皇岛市“三线一单”生态环境分区管控的实施意见》（秦政字[2021]6号）</w:t>
      </w:r>
      <w:r>
        <w:rPr>
          <w:rFonts w:ascii="仿宋_GB2312" w:eastAsia="仿宋_GB2312" w:cs="仿宋_GB2312"/>
          <w:color w:val="000000"/>
          <w:kern w:val="0"/>
          <w:sz w:val="32"/>
          <w:szCs w:val="32"/>
          <w:shd w:val="clear" w:color="auto" w:fill="FFFFFF"/>
          <w:lang w:eastAsia="zh-CN"/>
        </w:rPr>
        <w:t>等文件要求。</w:t>
      </w:r>
      <w:r>
        <w:rPr>
          <w:rFonts w:ascii="仿宋_GB2312" w:eastAsia="仿宋_GB2312" w:cs="仿宋_GB2312"/>
          <w:bCs/>
          <w:color w:val="000000"/>
          <w:kern w:val="0"/>
          <w:sz w:val="32"/>
          <w:szCs w:val="32"/>
          <w:shd w:val="clear" w:color="auto" w:fill="FFFFFF"/>
          <w:lang w:eastAsia="zh-CN"/>
        </w:rPr>
        <w:t>项目已在山海关区行政审批局备案（备案编号：SHG-2022-004）。</w:t>
      </w:r>
    </w:p>
    <w:p>
      <w:pPr>
        <w:keepNext w:val="0"/>
        <w:keepLines w:val="0"/>
        <w:pageBreakBefore w:val="0"/>
        <w:widowControl w:val="0"/>
        <w:kinsoku/>
        <w:wordWrap/>
        <w:overflowPunct/>
        <w:topLinePunct w:val="0"/>
        <w:autoSpaceDE w:val="0"/>
        <w:autoSpaceDN w:val="0"/>
        <w:adjustRightInd w:val="0"/>
        <w:snapToGrid w:val="0"/>
        <w:spacing w:line="560" w:lineRule="exact"/>
        <w:ind w:firstLine="640" w:firstLineChars="200"/>
        <w:rPr>
          <w:rFonts w:hint="eastAsia" w:ascii="仿宋_GB2312" w:eastAsia="仿宋_GB2312" w:cs="仿宋_GB2312"/>
          <w:color w:val="000000"/>
          <w:sz w:val="32"/>
          <w:szCs w:val="32"/>
          <w:shd w:val="clear" w:color="auto" w:fill="FFFFFF"/>
        </w:rPr>
      </w:pPr>
      <w:r>
        <w:rPr>
          <w:rFonts w:ascii="仿宋_GB2312" w:eastAsia="仿宋_GB2312" w:cs="仿宋_GB2312"/>
          <w:color w:val="000000"/>
          <w:spacing w:val="0"/>
          <w:kern w:val="0"/>
          <w:sz w:val="32"/>
          <w:szCs w:val="32"/>
        </w:rPr>
        <w:t>二、</w:t>
      </w:r>
      <w:r>
        <w:rPr>
          <w:rFonts w:hint="eastAsia" w:ascii="仿宋_GB2312" w:eastAsia="仿宋_GB2312" w:cs="仿宋_GB2312"/>
          <w:color w:val="000000"/>
          <w:spacing w:val="0"/>
          <w:kern w:val="0"/>
          <w:sz w:val="32"/>
          <w:szCs w:val="32"/>
        </w:rPr>
        <w:t>该</w:t>
      </w:r>
      <w:r>
        <w:rPr>
          <w:rFonts w:hint="eastAsia" w:ascii="仿宋_GB2312" w:eastAsia="仿宋_GB2312" w:cs="仿宋_GB2312"/>
          <w:color w:val="000000"/>
          <w:spacing w:val="0"/>
          <w:kern w:val="0"/>
          <w:sz w:val="32"/>
          <w:szCs w:val="32"/>
          <w:lang w:eastAsia="zh-CN"/>
        </w:rPr>
        <w:t>项目</w:t>
      </w:r>
      <w:r>
        <w:rPr>
          <w:rFonts w:hint="eastAsia" w:ascii="仿宋_GB2312" w:eastAsia="仿宋_GB2312" w:cs="仿宋_GB2312"/>
          <w:color w:val="000000"/>
          <w:spacing w:val="0"/>
          <w:kern w:val="0"/>
          <w:sz w:val="32"/>
          <w:szCs w:val="32"/>
        </w:rPr>
        <w:t>《报告书》已通过专家评审。根据</w:t>
      </w:r>
      <w:r>
        <w:rPr>
          <w:rFonts w:ascii="仿宋_GB2312" w:eastAsia="仿宋_GB2312" w:cs="仿宋_GB2312"/>
          <w:color w:val="000000"/>
          <w:spacing w:val="0"/>
          <w:kern w:val="0"/>
          <w:sz w:val="32"/>
          <w:szCs w:val="32"/>
        </w:rPr>
        <w:t>所报《报告书》、</w:t>
      </w:r>
      <w:r>
        <w:rPr>
          <w:rFonts w:hint="eastAsia" w:ascii="仿宋_GB2312" w:eastAsia="仿宋_GB2312" w:cs="仿宋_GB2312"/>
          <w:color w:val="000000"/>
          <w:spacing w:val="0"/>
          <w:kern w:val="0"/>
          <w:sz w:val="32"/>
          <w:szCs w:val="32"/>
        </w:rPr>
        <w:t>各有关</w:t>
      </w:r>
      <w:r>
        <w:rPr>
          <w:rFonts w:ascii="仿宋_GB2312" w:eastAsia="仿宋_GB2312" w:cs="仿宋_GB2312"/>
          <w:color w:val="000000"/>
          <w:spacing w:val="0"/>
          <w:kern w:val="0"/>
          <w:sz w:val="32"/>
          <w:szCs w:val="32"/>
        </w:rPr>
        <w:t>部门</w:t>
      </w:r>
      <w:r>
        <w:rPr>
          <w:rFonts w:hint="eastAsia" w:ascii="仿宋_GB2312" w:eastAsia="仿宋_GB2312" w:cs="仿宋_GB2312"/>
          <w:color w:val="000000"/>
          <w:spacing w:val="0"/>
          <w:kern w:val="0"/>
          <w:sz w:val="32"/>
          <w:szCs w:val="32"/>
        </w:rPr>
        <w:t>意见、专家</w:t>
      </w:r>
      <w:r>
        <w:rPr>
          <w:rFonts w:ascii="仿宋_GB2312" w:eastAsia="仿宋_GB2312" w:cs="仿宋_GB2312"/>
          <w:color w:val="000000"/>
          <w:spacing w:val="0"/>
          <w:kern w:val="0"/>
          <w:sz w:val="32"/>
          <w:szCs w:val="32"/>
        </w:rPr>
        <w:t>评审</w:t>
      </w:r>
      <w:r>
        <w:rPr>
          <w:rFonts w:hint="eastAsia" w:ascii="仿宋_GB2312" w:eastAsia="仿宋_GB2312" w:cs="仿宋_GB2312"/>
          <w:color w:val="000000"/>
          <w:spacing w:val="0"/>
          <w:kern w:val="0"/>
          <w:sz w:val="32"/>
          <w:szCs w:val="32"/>
        </w:rPr>
        <w:t>意见</w:t>
      </w:r>
      <w:r>
        <w:rPr>
          <w:rFonts w:ascii="仿宋_GB2312" w:eastAsia="仿宋_GB2312" w:cs="仿宋_GB2312"/>
          <w:color w:val="000000"/>
          <w:spacing w:val="0"/>
          <w:kern w:val="0"/>
          <w:sz w:val="32"/>
          <w:szCs w:val="32"/>
        </w:rPr>
        <w:t>、</w:t>
      </w:r>
      <w:r>
        <w:rPr>
          <w:rFonts w:hint="eastAsia" w:ascii="仿宋_GB2312" w:eastAsia="仿宋_GB2312" w:cs="仿宋_GB2312"/>
          <w:color w:val="000000"/>
          <w:spacing w:val="0"/>
          <w:kern w:val="0"/>
          <w:sz w:val="32"/>
          <w:szCs w:val="32"/>
        </w:rPr>
        <w:t>本项目公示意见反馈情况</w:t>
      </w:r>
      <w:r>
        <w:rPr>
          <w:rFonts w:ascii="仿宋_GB2312" w:eastAsia="仿宋_GB2312" w:cs="仿宋_GB2312"/>
          <w:color w:val="000000"/>
          <w:spacing w:val="0"/>
          <w:kern w:val="0"/>
          <w:sz w:val="32"/>
          <w:szCs w:val="32"/>
        </w:rPr>
        <w:t>以及企业承诺</w:t>
      </w:r>
      <w:r>
        <w:rPr>
          <w:rFonts w:hint="eastAsia" w:ascii="仿宋_GB2312" w:eastAsia="仿宋_GB2312" w:cs="仿宋_GB2312"/>
          <w:color w:val="000000"/>
          <w:spacing w:val="0"/>
          <w:kern w:val="0"/>
          <w:sz w:val="32"/>
          <w:szCs w:val="32"/>
        </w:rPr>
        <w:t>，在项目</w:t>
      </w:r>
      <w:r>
        <w:rPr>
          <w:rFonts w:hint="eastAsia" w:ascii="仿宋_GB2312" w:eastAsia="仿宋_GB2312" w:cs="仿宋_GB2312"/>
          <w:color w:val="000000"/>
          <w:spacing w:val="0"/>
          <w:kern w:val="0"/>
          <w:sz w:val="32"/>
          <w:szCs w:val="32"/>
          <w:lang w:eastAsia="zh-CN"/>
        </w:rPr>
        <w:t>全面严格</w:t>
      </w:r>
      <w:r>
        <w:rPr>
          <w:rFonts w:hint="eastAsia" w:ascii="仿宋_GB2312" w:eastAsia="仿宋_GB2312" w:cs="仿宋_GB2312"/>
          <w:color w:val="000000"/>
          <w:spacing w:val="0"/>
          <w:kern w:val="0"/>
          <w:sz w:val="32"/>
          <w:szCs w:val="32"/>
          <w:lang w:val="en-US" w:eastAsia="zh-CN"/>
        </w:rPr>
        <w:t>落实</w:t>
      </w:r>
      <w:r>
        <w:rPr>
          <w:rFonts w:hint="eastAsia" w:ascii="仿宋_GB2312" w:eastAsia="仿宋_GB2312" w:cs="仿宋_GB2312"/>
          <w:color w:val="000000"/>
          <w:spacing w:val="0"/>
          <w:kern w:val="0"/>
          <w:sz w:val="32"/>
          <w:szCs w:val="32"/>
        </w:rPr>
        <w:t>国家和地方相关法律法规、</w:t>
      </w:r>
      <w:r>
        <w:rPr>
          <w:rFonts w:hint="eastAsia" w:ascii="仿宋_GB2312" w:eastAsia="仿宋_GB2312" w:cs="仿宋_GB2312"/>
          <w:color w:val="000000"/>
          <w:spacing w:val="0"/>
          <w:kern w:val="0"/>
          <w:sz w:val="32"/>
          <w:szCs w:val="32"/>
          <w:lang w:eastAsia="zh-CN"/>
        </w:rPr>
        <w:t>规章、</w:t>
      </w:r>
      <w:r>
        <w:rPr>
          <w:rFonts w:hint="eastAsia" w:ascii="仿宋_GB2312" w:eastAsia="仿宋_GB2312" w:cs="仿宋_GB2312"/>
          <w:color w:val="000000"/>
          <w:spacing w:val="0"/>
          <w:kern w:val="0"/>
          <w:sz w:val="32"/>
          <w:szCs w:val="32"/>
        </w:rPr>
        <w:t>标准</w:t>
      </w:r>
      <w:r>
        <w:rPr>
          <w:rFonts w:hint="eastAsia" w:ascii="仿宋_GB2312" w:eastAsia="仿宋_GB2312" w:cs="仿宋_GB2312"/>
          <w:color w:val="000000"/>
          <w:spacing w:val="0"/>
          <w:kern w:val="0"/>
          <w:sz w:val="32"/>
          <w:szCs w:val="32"/>
          <w:shd w:val="clear" w:color="auto" w:fill="FFFFFF"/>
        </w:rPr>
        <w:t>、生态环境监督管理</w:t>
      </w:r>
      <w:r>
        <w:rPr>
          <w:rFonts w:hint="eastAsia" w:ascii="仿宋_GB2312" w:eastAsia="仿宋_GB2312" w:cs="仿宋_GB2312"/>
          <w:color w:val="000000"/>
          <w:spacing w:val="0"/>
          <w:kern w:val="0"/>
          <w:sz w:val="32"/>
          <w:szCs w:val="32"/>
          <w:shd w:val="clear" w:color="auto" w:fill="FFFFFF"/>
          <w:lang w:eastAsia="zh-CN"/>
        </w:rPr>
        <w:t>要求等</w:t>
      </w:r>
      <w:r>
        <w:rPr>
          <w:rFonts w:hint="eastAsia" w:ascii="仿宋_GB2312" w:eastAsia="仿宋_GB2312" w:cs="仿宋_GB2312"/>
          <w:color w:val="000000"/>
          <w:spacing w:val="0"/>
          <w:kern w:val="0"/>
          <w:sz w:val="32"/>
          <w:szCs w:val="32"/>
        </w:rPr>
        <w:t>规定</w:t>
      </w:r>
      <w:r>
        <w:rPr>
          <w:rFonts w:hint="eastAsia" w:ascii="仿宋_GB2312" w:eastAsia="仿宋_GB2312" w:cs="仿宋_GB2312"/>
          <w:color w:val="000000"/>
          <w:spacing w:val="0"/>
          <w:kern w:val="0"/>
          <w:sz w:val="32"/>
          <w:szCs w:val="32"/>
          <w:lang w:eastAsia="zh-CN"/>
        </w:rPr>
        <w:t>以及</w:t>
      </w:r>
      <w:r>
        <w:rPr>
          <w:rFonts w:hint="eastAsia" w:ascii="仿宋_GB2312" w:eastAsia="仿宋_GB2312" w:cs="仿宋_GB2312"/>
          <w:color w:val="000000"/>
          <w:spacing w:val="0"/>
          <w:kern w:val="0"/>
          <w:sz w:val="32"/>
          <w:szCs w:val="32"/>
          <w:shd w:val="clear" w:color="auto" w:fill="FFFFFF"/>
        </w:rPr>
        <w:t>《报告书》提出的各项污染防治措施</w:t>
      </w:r>
      <w:r>
        <w:rPr>
          <w:rFonts w:hint="eastAsia" w:ascii="仿宋_GB2312" w:eastAsia="仿宋_GB2312" w:cs="仿宋_GB2312"/>
          <w:color w:val="000000"/>
          <w:spacing w:val="0"/>
          <w:kern w:val="0"/>
          <w:sz w:val="32"/>
          <w:szCs w:val="32"/>
          <w:shd w:val="clear" w:color="auto" w:fill="FFFFFF"/>
          <w:lang w:eastAsia="zh-CN"/>
        </w:rPr>
        <w:t>、环境管理要求的前提下，</w:t>
      </w:r>
      <w:r>
        <w:rPr>
          <w:rFonts w:hint="eastAsia" w:ascii="仿宋_GB2312" w:eastAsia="仿宋_GB2312" w:cs="仿宋_GB2312"/>
          <w:color w:val="000000"/>
          <w:spacing w:val="0"/>
          <w:kern w:val="0"/>
          <w:sz w:val="32"/>
          <w:szCs w:val="32"/>
        </w:rPr>
        <w:t>从环境保护角度考虑，我局原则同意《报告书》</w:t>
      </w:r>
      <w:r>
        <w:rPr>
          <w:rFonts w:ascii="仿宋_GB2312" w:eastAsia="仿宋_GB2312" w:cs="仿宋_GB2312"/>
          <w:color w:val="000000"/>
          <w:spacing w:val="0"/>
          <w:kern w:val="0"/>
          <w:sz w:val="32"/>
          <w:szCs w:val="32"/>
        </w:rPr>
        <w:t>结论</w:t>
      </w:r>
      <w:r>
        <w:rPr>
          <w:rFonts w:hint="eastAsia" w:ascii="仿宋_GB2312" w:eastAsia="仿宋_GB2312" w:cs="仿宋_GB2312"/>
          <w:color w:val="000000"/>
          <w:spacing w:val="0"/>
          <w:kern w:val="0"/>
          <w:sz w:val="32"/>
          <w:szCs w:val="32"/>
        </w:rPr>
        <w:t>。</w:t>
      </w:r>
      <w:r>
        <w:rPr>
          <w:rFonts w:ascii="仿宋_GB2312" w:eastAsia="仿宋_GB2312" w:cs="仿宋_GB2312"/>
          <w:color w:val="000000"/>
          <w:spacing w:val="0"/>
          <w:kern w:val="0"/>
          <w:sz w:val="32"/>
          <w:szCs w:val="32"/>
        </w:rPr>
        <w:t>你公司须严格按照《报告书》所列建设项目的性质、规模、地点、生产工艺、环保措施及要求实施</w:t>
      </w:r>
      <w:r>
        <w:rPr>
          <w:rFonts w:hint="eastAsia" w:ascii="仿宋_GB2312" w:eastAsia="仿宋_GB2312" w:cs="仿宋_GB2312"/>
          <w:color w:val="000000"/>
          <w:sz w:val="32"/>
          <w:szCs w:val="32"/>
          <w:shd w:val="clear" w:color="auto" w:fill="FFFFFF"/>
        </w:rPr>
        <w:t>项目建设，未列入本报告及批复许可的内容，不得建设、投入运行。</w:t>
      </w:r>
    </w:p>
    <w:p>
      <w:pPr>
        <w:keepNext w:val="0"/>
        <w:keepLines w:val="0"/>
        <w:pageBreakBefore w:val="0"/>
        <w:widowControl w:val="0"/>
        <w:kinsoku/>
        <w:wordWrap/>
        <w:overflowPunct/>
        <w:topLinePunct w:val="0"/>
        <w:autoSpaceDE/>
        <w:autoSpaceDN/>
        <w:adjustRightInd w:val="0"/>
        <w:snapToGrid w:val="0"/>
        <w:spacing w:line="560" w:lineRule="exact"/>
        <w:ind w:firstLine="640" w:firstLineChars="200"/>
        <w:rPr>
          <w:rFonts w:ascii="仿宋_GB2312" w:eastAsia="仿宋_GB2312" w:cs="仿宋_GB2312"/>
          <w:color w:val="000000"/>
          <w:spacing w:val="0"/>
          <w:kern w:val="0"/>
          <w:sz w:val="32"/>
          <w:szCs w:val="32"/>
          <w:shd w:val="clear" w:color="auto" w:fill="FFFFFF"/>
          <w:lang w:eastAsia="zh-CN"/>
        </w:rPr>
      </w:pPr>
      <w:r>
        <w:rPr>
          <w:rFonts w:ascii="仿宋_GB2312" w:eastAsia="仿宋_GB2312" w:cs="仿宋_GB2312"/>
          <w:color w:val="000000"/>
          <w:kern w:val="0"/>
          <w:sz w:val="32"/>
          <w:szCs w:val="32"/>
        </w:rPr>
        <w:t>三</w:t>
      </w:r>
      <w:r>
        <w:rPr>
          <w:rFonts w:hint="eastAsia" w:ascii="仿宋_GB2312" w:eastAsia="仿宋_GB2312" w:cs="仿宋_GB2312"/>
          <w:color w:val="000000"/>
          <w:kern w:val="0"/>
          <w:sz w:val="32"/>
          <w:szCs w:val="32"/>
        </w:rPr>
        <w:t>、该项目建设和运行过程中要认真落实《报告书》及相关的各项污染防治措施和环境管理要求，确保各项污染物稳定达标排放。同时，重点做好以下工作：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textAlignment w:val="auto"/>
        <w:rPr>
          <w:rFonts w:ascii="仿宋_GB2312" w:eastAsia="仿宋_GB2312" w:cs="仿宋_GB2312"/>
          <w:color w:val="000000"/>
          <w:kern w:val="0"/>
          <w:sz w:val="32"/>
          <w:szCs w:val="32"/>
        </w:rPr>
      </w:pPr>
      <w:r>
        <w:rPr>
          <w:rFonts w:ascii="仿宋_GB2312" w:eastAsia="仿宋_GB2312" w:cs="仿宋_GB2312"/>
          <w:color w:val="000000"/>
          <w:kern w:val="0"/>
          <w:sz w:val="32"/>
          <w:szCs w:val="32"/>
        </w:rPr>
        <w:t>（一）加强施工期管理，制定严格的规章制度，确保各项环保措施落实到位。选用低噪声施工机械，合理安排各类施工机械工作时间，确保施工场界噪声达到</w:t>
      </w:r>
      <w:r>
        <w:rPr>
          <w:rFonts w:hint="eastAsia" w:ascii="仿宋_GB2312" w:eastAsia="仿宋_GB2312" w:cs="仿宋_GB2312"/>
          <w:color w:val="000000"/>
          <w:kern w:val="0"/>
          <w:sz w:val="32"/>
          <w:szCs w:val="32"/>
          <w:lang w:val="en-US" w:eastAsia="zh-CN"/>
        </w:rPr>
        <w:t>《建筑施工场界环境噪声排放标准》(GB12523-2011)要求；</w:t>
      </w:r>
      <w:r>
        <w:rPr>
          <w:rFonts w:ascii="仿宋_GB2312" w:eastAsia="仿宋_GB2312" w:cs="仿宋_GB2312"/>
          <w:color w:val="000000"/>
          <w:kern w:val="0"/>
          <w:sz w:val="32"/>
          <w:szCs w:val="32"/>
          <w:lang w:val="en-US" w:eastAsia="zh-CN"/>
        </w:rPr>
        <w:t>有效控制施工扬尘，确保施工扬尘满足</w:t>
      </w:r>
      <w:r>
        <w:rPr>
          <w:rFonts w:hint="eastAsia" w:ascii="仿宋_GB2312" w:eastAsia="仿宋_GB2312" w:cs="仿宋_GB2312"/>
          <w:color w:val="000000"/>
          <w:kern w:val="0"/>
          <w:sz w:val="32"/>
          <w:szCs w:val="32"/>
          <w:lang w:val="en-US" w:eastAsia="zh-CN"/>
        </w:rPr>
        <w:t>《施工场地扬尘排放标准》（DB13/2934-2019）要求</w:t>
      </w:r>
      <w:r>
        <w:rPr>
          <w:rFonts w:ascii="仿宋_GB2312" w:eastAsia="仿宋_GB2312" w:cs="仿宋_GB2312"/>
          <w:color w:val="000000"/>
          <w:kern w:val="0"/>
          <w:sz w:val="32"/>
          <w:szCs w:val="32"/>
          <w:lang w:val="en-US" w:eastAsia="zh-CN"/>
        </w:rPr>
        <w:t>；依法依规处置施工期固体废弃物，防止施工期间废水、扬尘、固废、噪声等污染环境。</w:t>
      </w:r>
      <w:r>
        <w:rPr>
          <w:rFonts w:hint="eastAsia" w:ascii="仿宋_GB2312" w:eastAsia="仿宋_GB2312" w:cs="仿宋_GB2312"/>
          <w:color w:val="000000"/>
          <w:kern w:val="0"/>
          <w:sz w:val="32"/>
          <w:szCs w:val="32"/>
        </w:rPr>
        <w:t>严格按照《报告书》要求进行相应的地面硬化以及</w:t>
      </w:r>
      <w:r>
        <w:rPr>
          <w:rFonts w:hint="eastAsia" w:ascii="仿宋_GB2312" w:eastAsia="仿宋_GB2312" w:cs="仿宋_GB2312"/>
          <w:color w:val="000000"/>
          <w:kern w:val="0"/>
          <w:sz w:val="32"/>
          <w:szCs w:val="32"/>
          <w:lang w:eastAsia="zh-CN"/>
        </w:rPr>
        <w:t>防腐、</w:t>
      </w:r>
      <w:r>
        <w:rPr>
          <w:rFonts w:hint="eastAsia" w:ascii="仿宋_GB2312" w:eastAsia="仿宋_GB2312" w:cs="仿宋_GB2312"/>
          <w:color w:val="000000"/>
          <w:kern w:val="0"/>
          <w:sz w:val="32"/>
          <w:szCs w:val="32"/>
        </w:rPr>
        <w:t>防渗</w:t>
      </w:r>
      <w:r>
        <w:rPr>
          <w:rFonts w:hint="eastAsia" w:ascii="仿宋_GB2312" w:eastAsia="仿宋_GB2312" w:cs="仿宋_GB2312"/>
          <w:color w:val="000000"/>
          <w:kern w:val="0"/>
          <w:sz w:val="32"/>
          <w:szCs w:val="32"/>
          <w:lang w:eastAsia="zh-CN"/>
        </w:rPr>
        <w:t>、防漏、</w:t>
      </w:r>
      <w:r>
        <w:rPr>
          <w:rFonts w:hint="eastAsia" w:ascii="仿宋_GB2312" w:eastAsia="仿宋_GB2312" w:cs="仿宋_GB2312"/>
          <w:color w:val="000000"/>
          <w:kern w:val="0"/>
          <w:sz w:val="32"/>
          <w:szCs w:val="32"/>
        </w:rPr>
        <w:t>防</w:t>
      </w:r>
      <w:r>
        <w:rPr>
          <w:rFonts w:hint="eastAsia" w:ascii="仿宋_GB2312" w:eastAsia="仿宋_GB2312" w:cs="仿宋_GB2312"/>
          <w:color w:val="000000"/>
          <w:kern w:val="0"/>
          <w:sz w:val="32"/>
          <w:szCs w:val="32"/>
          <w:lang w:val="en-US" w:eastAsia="zh-CN"/>
        </w:rPr>
        <w:t>冻</w:t>
      </w:r>
      <w:r>
        <w:rPr>
          <w:rFonts w:hint="eastAsia" w:ascii="仿宋_GB2312" w:eastAsia="仿宋_GB2312" w:cs="仿宋_GB2312"/>
          <w:color w:val="000000"/>
          <w:kern w:val="0"/>
          <w:sz w:val="32"/>
          <w:szCs w:val="32"/>
        </w:rPr>
        <w:t>施工。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color w:val="000000"/>
          <w:spacing w:val="0"/>
          <w:kern w:val="0"/>
          <w:sz w:val="32"/>
          <w:szCs w:val="32"/>
          <w:shd w:val="clear" w:color="auto" w:fill="FFFFFF"/>
          <w:lang w:eastAsia="zh-CN"/>
        </w:rPr>
      </w:pPr>
      <w:r>
        <w:rPr>
          <w:rFonts w:ascii="仿宋_GB2312" w:eastAsia="仿宋_GB2312" w:cs="仿宋_GB2312"/>
          <w:color w:val="000000"/>
          <w:spacing w:val="0"/>
          <w:kern w:val="0"/>
          <w:sz w:val="32"/>
          <w:szCs w:val="32"/>
          <w:shd w:val="clear" w:color="auto" w:fill="FFFFFF"/>
          <w:lang w:val="en-US" w:eastAsia="zh-CN"/>
        </w:rPr>
        <w:t>（二）</w:t>
      </w:r>
      <w:r>
        <w:rPr>
          <w:rFonts w:hint="eastAsia" w:ascii="仿宋_GB2312" w:eastAsia="仿宋_GB2312" w:cs="仿宋_GB2312"/>
          <w:color w:val="000000"/>
          <w:spacing w:val="0"/>
          <w:kern w:val="0"/>
          <w:sz w:val="32"/>
          <w:szCs w:val="32"/>
          <w:shd w:val="clear" w:color="auto" w:fill="FFFFFF"/>
          <w:lang w:val="en-US" w:eastAsia="zh-CN"/>
        </w:rPr>
        <w:t>加强运营期环境管理，严格落实各项污染防治措施。</w:t>
      </w:r>
    </w:p>
    <w:p>
      <w:pPr>
        <w:keepNext w:val="0"/>
        <w:keepLines w:val="0"/>
        <w:pageBreakBefore w:val="0"/>
        <w:widowControl w:val="0"/>
        <w:kinsoku/>
        <w:wordWrap/>
        <w:overflowPunct/>
        <w:topLinePunct w:val="0"/>
        <w:autoSpaceDE/>
        <w:autoSpaceDN/>
        <w:adjustRightInd w:val="0"/>
        <w:snapToGrid w:val="0"/>
        <w:spacing w:line="560" w:lineRule="exact"/>
        <w:ind w:firstLine="640" w:firstLineChars="200"/>
        <w:rPr>
          <w:rFonts w:ascii="仿宋_GB2312" w:eastAsia="仿宋_GB2312" w:cs="仿宋_GB2312"/>
          <w:color w:val="FF0000"/>
          <w:kern w:val="0"/>
          <w:sz w:val="32"/>
          <w:szCs w:val="32"/>
          <w:shd w:val="clear" w:color="auto" w:fill="FFFFFF"/>
          <w:lang w:eastAsia="zh-CN"/>
        </w:rPr>
      </w:pPr>
      <w:r>
        <w:rPr>
          <w:rFonts w:hint="eastAsia" w:ascii="仿宋_GB2312" w:eastAsia="仿宋_GB2312" w:cs="仿宋_GB2312"/>
          <w:color w:val="000000"/>
          <w:spacing w:val="0"/>
          <w:kern w:val="0"/>
          <w:sz w:val="32"/>
          <w:szCs w:val="32"/>
          <w:shd w:val="clear" w:color="auto" w:fill="FFFFFF"/>
          <w:lang w:val="en-US" w:eastAsia="zh-CN"/>
        </w:rPr>
        <w:t>1.严格落实各项大气</w:t>
      </w:r>
      <w:r>
        <w:rPr>
          <w:rFonts w:hint="eastAsia" w:ascii="仿宋_GB2312" w:eastAsia="仿宋_GB2312" w:cs="仿宋_GB2312"/>
          <w:color w:val="000000"/>
          <w:spacing w:val="0"/>
          <w:kern w:val="0"/>
          <w:sz w:val="32"/>
          <w:szCs w:val="32"/>
          <w:shd w:val="clear" w:color="auto" w:fill="FFFFFF"/>
        </w:rPr>
        <w:t>污染防治措施</w:t>
      </w:r>
      <w:r>
        <w:rPr>
          <w:rFonts w:hint="eastAsia" w:ascii="仿宋_GB2312" w:eastAsia="仿宋_GB2312" w:cs="仿宋_GB2312"/>
          <w:color w:val="000000"/>
          <w:spacing w:val="0"/>
          <w:kern w:val="0"/>
          <w:sz w:val="32"/>
          <w:szCs w:val="32"/>
          <w:shd w:val="clear" w:color="auto" w:fill="FFFFFF"/>
          <w:lang w:eastAsia="zh-CN"/>
        </w:rPr>
        <w:t>。</w:t>
      </w:r>
      <w:r>
        <w:rPr>
          <w:rFonts w:hint="eastAsia" w:ascii="仿宋_GB2312" w:eastAsia="仿宋_GB2312" w:cs="仿宋_GB2312"/>
          <w:color w:val="000000"/>
          <w:spacing w:val="0"/>
          <w:kern w:val="0"/>
          <w:sz w:val="32"/>
          <w:szCs w:val="32"/>
          <w:shd w:val="clear" w:color="auto" w:fill="FFFFFF"/>
        </w:rPr>
        <w:t>根据废气污染物的性质切实采用有效处理方式，处理设施的处理能力、效率应满足需求，排气筒高度须符合国家有关要求，确保大气污染物排放满足国家和地方有关标准要求。</w:t>
      </w:r>
      <w:r>
        <w:rPr>
          <w:rFonts w:ascii="仿宋_GB2312" w:eastAsia="仿宋_GB2312" w:cs="仿宋_GB2312"/>
          <w:color w:val="000000"/>
          <w:kern w:val="0"/>
          <w:sz w:val="32"/>
          <w:szCs w:val="32"/>
          <w:shd w:val="clear" w:color="auto" w:fill="FFFFFF"/>
          <w:lang w:eastAsia="zh-CN"/>
        </w:rPr>
        <w:t xml:space="preserve"> 发酵废气中臭气浓度和氨排放须满足《恶臭污染物排放标准》（GB14554-93）相关要求；颗粒物排放须满足《大气污染物综合排放标准》（GB16297-1996）相关要求。干燥废气中颗粒物排放须满足《大气污染物综合排放标准》（GB16297-1996）相关要求；臭气浓度和氨排放须满足《恶臭污染物排放标准》（GB14554-93）相关要求；非甲烷总烃排放须满足《工业企业挥发性有机物排放控制标准》（DB13/2322-2016）相关要求。天然气锅炉废气中颗粒物、二氧化硫和氮氧化物排放须满足《锅炉大气污染物排放标准》（DB13/5161-2020）相关要求，同时还须满足河北省大气污染防治工作小组《关于开展燃气锅炉氮氧化物治理工作的通知》（冀气领办</w:t>
      </w:r>
      <w:r>
        <w:rPr>
          <w:rFonts w:hint="eastAsia" w:ascii="仿宋_GB2312" w:eastAsia="仿宋_GB2312" w:cs="仿宋_GB2312"/>
          <w:color w:val="000000"/>
          <w:kern w:val="0"/>
          <w:sz w:val="32"/>
          <w:szCs w:val="32"/>
          <w:shd w:val="clear" w:color="auto" w:fill="FFFFFF"/>
          <w:lang w:eastAsia="zh-CN"/>
        </w:rPr>
        <w:t>[</w:t>
      </w:r>
      <w:r>
        <w:rPr>
          <w:rFonts w:ascii="仿宋_GB2312" w:eastAsia="仿宋_GB2312" w:cs="仿宋_GB2312"/>
          <w:color w:val="000000"/>
          <w:kern w:val="0"/>
          <w:sz w:val="32"/>
          <w:szCs w:val="32"/>
          <w:shd w:val="clear" w:color="auto" w:fill="FFFFFF"/>
          <w:lang w:eastAsia="zh-CN"/>
        </w:rPr>
        <w:t>2018</w:t>
      </w:r>
      <w:r>
        <w:rPr>
          <w:rFonts w:hint="eastAsia" w:ascii="仿宋_GB2312" w:eastAsia="仿宋_GB2312" w:cs="仿宋_GB2312"/>
          <w:color w:val="000000"/>
          <w:kern w:val="0"/>
          <w:sz w:val="32"/>
          <w:szCs w:val="32"/>
          <w:shd w:val="clear" w:color="auto" w:fill="FFFFFF"/>
          <w:lang w:eastAsia="zh-CN"/>
        </w:rPr>
        <w:t>]</w:t>
      </w:r>
      <w:r>
        <w:rPr>
          <w:rFonts w:ascii="仿宋_GB2312" w:eastAsia="仿宋_GB2312" w:cs="仿宋_GB2312"/>
          <w:color w:val="000000"/>
          <w:kern w:val="0"/>
          <w:sz w:val="32"/>
          <w:szCs w:val="32"/>
          <w:shd w:val="clear" w:color="auto" w:fill="FFFFFF"/>
          <w:lang w:eastAsia="zh-CN"/>
        </w:rPr>
        <w:t>177号）相关要求。污水处理站有组织排放废气中的臭气浓度、氨和硫化氢排放须满足《恶臭污染物排放标准》（GB14554-93）相关要求；非甲烷总烃排放须满足《工业企业挥发性有机物排放控制标准》（DB13/2322-2016）相关要求。污水处理站无组织排放废气中的臭气浓度、氨和硫化氢排放须满足《恶臭污染物排放标准》（GB14554-93）相关要求；非甲烷总烃排放须满足《工业企业挥发性有机物排放控制标准》（DB13/2322-2016）相关要求，同时非甲烷总烃无组织排放管理须满足《挥发性有机物无组织排放控制标准》（GB37822-2019）相关要求。氨水存储无组织排放废气中氨的排放须满足《恶臭污染物排放标准》（GB14554-93）相关要求。发酵三车间无组织废气排放须满足《大气污染物综合排放标准》（GB16297-1996）相关要求，同时还须满足《秦皇岛市人民政府办公室关于执行钢铁等行业大气污染物排放特别要求的通知》（</w:t>
      </w:r>
      <w:r>
        <w:rPr>
          <w:rFonts w:hint="eastAsia" w:ascii="仿宋_GB2312" w:eastAsia="仿宋_GB2312" w:cs="仿宋_GB2312"/>
          <w:color w:val="000000"/>
          <w:kern w:val="0"/>
          <w:sz w:val="32"/>
          <w:szCs w:val="32"/>
          <w:shd w:val="clear" w:color="auto" w:fill="FFFFFF"/>
          <w:lang w:eastAsia="zh-CN"/>
        </w:rPr>
        <w:t>[</w:t>
      </w:r>
      <w:r>
        <w:rPr>
          <w:rFonts w:ascii="仿宋_GB2312" w:eastAsia="仿宋_GB2312" w:cs="仿宋_GB2312"/>
          <w:color w:val="000000"/>
          <w:kern w:val="0"/>
          <w:sz w:val="32"/>
          <w:szCs w:val="32"/>
          <w:shd w:val="clear" w:color="auto" w:fill="FFFFFF"/>
          <w:lang w:eastAsia="zh-CN"/>
        </w:rPr>
        <w:t>2021</w:t>
      </w:r>
      <w:r>
        <w:rPr>
          <w:rFonts w:hint="eastAsia" w:ascii="仿宋_GB2312" w:eastAsia="仿宋_GB2312" w:cs="仿宋_GB2312"/>
          <w:color w:val="000000"/>
          <w:kern w:val="0"/>
          <w:sz w:val="32"/>
          <w:szCs w:val="32"/>
          <w:shd w:val="clear" w:color="auto" w:fill="FFFFFF"/>
          <w:lang w:eastAsia="zh-CN"/>
        </w:rPr>
        <w:t>]</w:t>
      </w:r>
      <w:r>
        <w:rPr>
          <w:rFonts w:ascii="仿宋_GB2312" w:eastAsia="仿宋_GB2312" w:cs="仿宋_GB2312"/>
          <w:color w:val="000000"/>
          <w:kern w:val="0"/>
          <w:sz w:val="32"/>
          <w:szCs w:val="32"/>
          <w:shd w:val="clear" w:color="auto" w:fill="FFFFFF"/>
          <w:lang w:eastAsia="zh-CN"/>
        </w:rPr>
        <w:t>-10）中工业企业厂界颗粒物无组织排放浓度特别管控要求。</w:t>
      </w:r>
    </w:p>
    <w:p>
      <w:pPr>
        <w:keepNext w:val="0"/>
        <w:keepLines w:val="0"/>
        <w:pageBreakBefore w:val="0"/>
        <w:widowControl w:val="0"/>
        <w:kinsoku/>
        <w:wordWrap/>
        <w:overflowPunct/>
        <w:topLinePunct w:val="0"/>
        <w:autoSpaceDE w:val="0"/>
        <w:autoSpaceDN w:val="0"/>
        <w:adjustRightInd w:val="0"/>
        <w:snapToGrid w:val="0"/>
        <w:spacing w:line="560" w:lineRule="exact"/>
        <w:ind w:left="0" w:firstLine="640" w:firstLineChars="200"/>
        <w:rPr>
          <w:rFonts w:hint="eastAsia"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lang w:val="en-US"/>
        </w:rPr>
        <w:t>2.</w:t>
      </w:r>
      <w:r>
        <w:rPr>
          <w:rFonts w:hint="eastAsia" w:ascii="仿宋_GB2312" w:eastAsia="仿宋_GB2312" w:cs="仿宋_GB2312"/>
          <w:color w:val="000000"/>
          <w:kern w:val="0"/>
          <w:sz w:val="32"/>
          <w:szCs w:val="32"/>
        </w:rPr>
        <w:t>严格落实各项水污染防治措施</w:t>
      </w:r>
      <w:r>
        <w:rPr>
          <w:rFonts w:ascii="仿宋_GB2312" w:eastAsia="仿宋_GB2312" w:cs="仿宋_GB2312"/>
          <w:color w:val="000000"/>
          <w:kern w:val="0"/>
          <w:sz w:val="32"/>
          <w:szCs w:val="32"/>
        </w:rPr>
        <w:t>。项目废水排放须满足《污水综合排放标准》（GB8978-1996）相关要求，同时还须满足《淀粉工业水污染物排放标准》（GB25461-2010）相关限值要求和山海关污水处理厂进水水质要求。</w:t>
      </w:r>
      <w:r>
        <w:rPr>
          <w:rFonts w:hint="eastAsia" w:ascii="仿宋_GB2312" w:eastAsia="仿宋_GB2312" w:cs="仿宋_GB2312"/>
          <w:color w:val="000000"/>
          <w:kern w:val="0"/>
          <w:sz w:val="32"/>
          <w:szCs w:val="32"/>
          <w:shd w:val="clear" w:color="auto" w:fill="FFFFFF"/>
        </w:rPr>
        <w:t>项目须做好相关防渗措施，防止对地下水造成污染。</w:t>
      </w:r>
    </w:p>
    <w:p>
      <w:pPr>
        <w:pStyle w:val="2"/>
        <w:keepNext w:val="0"/>
        <w:keepLines w:val="0"/>
        <w:pageBreakBefore w:val="0"/>
        <w:widowControl w:val="0"/>
        <w:adjustRightInd w:val="0"/>
        <w:snapToGrid w:val="0"/>
        <w:spacing w:after="0" w:line="560" w:lineRule="exact"/>
        <w:ind w:left="0" w:firstLine="640" w:firstLineChars="200"/>
        <w:rPr>
          <w:rFonts w:eastAsia="仿宋_GB2312"/>
          <w:color w:val="000000"/>
          <w:sz w:val="32"/>
        </w:rPr>
      </w:pPr>
      <w:r>
        <w:rPr>
          <w:rFonts w:hint="eastAsia" w:ascii="仿宋_GB2312" w:eastAsia="仿宋_GB2312" w:cs="仿宋_GB2312"/>
          <w:color w:val="000000"/>
          <w:spacing w:val="0"/>
          <w:kern w:val="0"/>
          <w:sz w:val="32"/>
          <w:szCs w:val="32"/>
          <w:lang w:val="en-US" w:eastAsia="zh-CN"/>
        </w:rPr>
        <w:t>3.</w:t>
      </w:r>
      <w:r>
        <w:rPr>
          <w:rFonts w:hint="eastAsia" w:ascii="仿宋_GB2312" w:eastAsia="仿宋_GB2312" w:cs="仿宋_GB2312"/>
          <w:color w:val="000000"/>
          <w:spacing w:val="0"/>
          <w:kern w:val="0"/>
          <w:sz w:val="32"/>
          <w:szCs w:val="32"/>
        </w:rPr>
        <w:t>严格落实各项噪声污染防治措施</w:t>
      </w:r>
      <w:r>
        <w:rPr>
          <w:rFonts w:hint="eastAsia" w:ascii="仿宋_GB2312" w:eastAsia="仿宋_GB2312" w:cs="仿宋_GB2312"/>
          <w:color w:val="000000"/>
          <w:spacing w:val="0"/>
          <w:kern w:val="0"/>
          <w:sz w:val="32"/>
          <w:szCs w:val="32"/>
          <w:lang w:eastAsia="zh-CN"/>
        </w:rPr>
        <w:t>，</w:t>
      </w:r>
      <w:r>
        <w:rPr>
          <w:rFonts w:ascii="仿宋_GB2312" w:eastAsia="仿宋_GB2312" w:cs="仿宋_GB2312"/>
          <w:color w:val="000000"/>
          <w:spacing w:val="0"/>
          <w:kern w:val="0"/>
          <w:sz w:val="32"/>
          <w:szCs w:val="32"/>
        </w:rPr>
        <w:t>严格控制生产过程产生的</w:t>
      </w:r>
      <w:r>
        <w:rPr>
          <w:rFonts w:hint="eastAsia" w:ascii="仿宋_GB2312" w:eastAsia="仿宋_GB2312" w:cs="仿宋_GB2312"/>
          <w:color w:val="000000"/>
          <w:spacing w:val="0"/>
          <w:kern w:val="0"/>
          <w:sz w:val="32"/>
          <w:szCs w:val="32"/>
        </w:rPr>
        <w:t>噪声对周围环境的影响。</w:t>
      </w:r>
      <w:r>
        <w:rPr>
          <w:rFonts w:eastAsia="仿宋_GB2312"/>
          <w:color w:val="000000"/>
          <w:sz w:val="32"/>
        </w:rPr>
        <w:t>项目建设应</w:t>
      </w:r>
      <w:r>
        <w:rPr>
          <w:rFonts w:ascii="仿宋_GB2312" w:eastAsia="仿宋_GB2312" w:cs="仿宋_GB2312"/>
          <w:color w:val="000000"/>
          <w:spacing w:val="0"/>
          <w:kern w:val="0"/>
          <w:sz w:val="32"/>
          <w:szCs w:val="32"/>
        </w:rPr>
        <w:t>合理布局，选用低噪声设备，同时采取必要的隔音、消声降噪措施，确保厂界噪声满足</w:t>
      </w:r>
      <w:r>
        <w:rPr>
          <w:rFonts w:hint="eastAsia" w:ascii="仿宋_GB2312" w:eastAsia="仿宋_GB2312" w:cs="仿宋_GB2312"/>
          <w:color w:val="000000"/>
          <w:spacing w:val="0"/>
          <w:kern w:val="0"/>
          <w:sz w:val="32"/>
          <w:szCs w:val="32"/>
          <w:lang w:val="en-US" w:eastAsia="zh-CN"/>
        </w:rPr>
        <w:t>《工业企业厂界环境噪声排放标准》（GB12348-2008）</w:t>
      </w:r>
      <w:r>
        <w:rPr>
          <w:rFonts w:ascii="仿宋_GB2312" w:eastAsia="仿宋_GB2312" w:cs="仿宋_GB2312"/>
          <w:color w:val="000000"/>
          <w:spacing w:val="0"/>
          <w:kern w:val="0"/>
          <w:sz w:val="32"/>
          <w:szCs w:val="32"/>
          <w:lang w:val="en-US" w:eastAsia="zh-CN"/>
        </w:rPr>
        <w:t>相应限值要求及所在功能区要求。</w:t>
      </w:r>
    </w:p>
    <w:p>
      <w:pPr>
        <w:pStyle w:val="2"/>
        <w:keepNext w:val="0"/>
        <w:keepLines w:val="0"/>
        <w:pageBreakBefore w:val="0"/>
        <w:widowControl w:val="0"/>
        <w:adjustRightInd w:val="0"/>
        <w:snapToGrid w:val="0"/>
        <w:spacing w:after="0" w:line="560" w:lineRule="exact"/>
        <w:ind w:firstLine="640" w:firstLineChars="200"/>
        <w:rPr>
          <w:rFonts w:ascii="仿宋_GB2312" w:eastAsia="仿宋_GB2312" w:cs="仿宋_GB2312"/>
          <w:color w:val="000000"/>
          <w:spacing w:val="0"/>
          <w:kern w:val="0"/>
          <w:sz w:val="32"/>
          <w:szCs w:val="32"/>
        </w:rPr>
      </w:pPr>
      <w:r>
        <w:rPr>
          <w:rFonts w:hint="eastAsia" w:ascii="仿宋_GB2312" w:eastAsia="仿宋_GB2312" w:cs="仿宋_GB2312"/>
          <w:color w:val="000000"/>
          <w:spacing w:val="0"/>
          <w:kern w:val="0"/>
          <w:sz w:val="32"/>
          <w:szCs w:val="32"/>
          <w:lang w:val="en-US" w:eastAsia="zh-CN"/>
        </w:rPr>
        <w:t>4.严格落实</w:t>
      </w:r>
      <w:r>
        <w:rPr>
          <w:rFonts w:hint="eastAsia" w:ascii="仿宋_GB2312" w:eastAsia="仿宋_GB2312" w:cs="仿宋_GB2312"/>
          <w:color w:val="000000"/>
          <w:spacing w:val="0"/>
          <w:kern w:val="0"/>
          <w:sz w:val="32"/>
          <w:szCs w:val="32"/>
        </w:rPr>
        <w:t>固体废物污染防治</w:t>
      </w:r>
      <w:r>
        <w:rPr>
          <w:rFonts w:hint="eastAsia" w:ascii="仿宋_GB2312" w:eastAsia="仿宋_GB2312" w:cs="仿宋_GB2312"/>
          <w:color w:val="000000"/>
          <w:spacing w:val="0"/>
          <w:kern w:val="0"/>
          <w:sz w:val="32"/>
          <w:szCs w:val="32"/>
          <w:lang w:val="en-US" w:eastAsia="zh-CN"/>
        </w:rPr>
        <w:t>措施</w:t>
      </w:r>
      <w:r>
        <w:rPr>
          <w:rFonts w:hint="eastAsia" w:ascii="仿宋_GB2312" w:eastAsia="仿宋_GB2312" w:cs="仿宋_GB2312"/>
          <w:color w:val="000000"/>
          <w:spacing w:val="0"/>
          <w:kern w:val="0"/>
          <w:sz w:val="32"/>
          <w:szCs w:val="32"/>
        </w:rPr>
        <w:t>。</w:t>
      </w:r>
      <w:r>
        <w:rPr>
          <w:rFonts w:ascii="仿宋_GB2312" w:eastAsia="仿宋_GB2312" w:cs="仿宋_GB2312"/>
          <w:color w:val="000000"/>
          <w:spacing w:val="0"/>
          <w:kern w:val="0"/>
          <w:sz w:val="32"/>
          <w:szCs w:val="32"/>
        </w:rPr>
        <w:t>严格按照有关规定以及《报告书》的相关要求，认真</w:t>
      </w:r>
      <w:r>
        <w:rPr>
          <w:rFonts w:hint="eastAsia" w:ascii="仿宋_GB2312" w:eastAsia="仿宋_GB2312" w:cs="仿宋_GB2312"/>
          <w:color w:val="000000"/>
          <w:spacing w:val="0"/>
          <w:kern w:val="0"/>
          <w:sz w:val="32"/>
          <w:szCs w:val="32"/>
        </w:rPr>
        <w:t>落实固体废物分类</w:t>
      </w:r>
      <w:r>
        <w:rPr>
          <w:rFonts w:ascii="仿宋_GB2312" w:eastAsia="仿宋_GB2312" w:cs="仿宋_GB2312"/>
          <w:color w:val="000000"/>
          <w:spacing w:val="0"/>
          <w:kern w:val="0"/>
          <w:sz w:val="32"/>
          <w:szCs w:val="32"/>
        </w:rPr>
        <w:t>处理、</w:t>
      </w:r>
      <w:r>
        <w:rPr>
          <w:rFonts w:hint="eastAsia" w:ascii="仿宋_GB2312" w:eastAsia="仿宋_GB2312" w:cs="仿宋_GB2312"/>
          <w:color w:val="000000"/>
          <w:spacing w:val="0"/>
          <w:kern w:val="0"/>
          <w:sz w:val="32"/>
          <w:szCs w:val="32"/>
        </w:rPr>
        <w:t>处置和综合利用措施</w:t>
      </w:r>
      <w:r>
        <w:rPr>
          <w:rFonts w:ascii="仿宋_GB2312" w:eastAsia="仿宋_GB2312" w:cs="仿宋_GB2312"/>
          <w:color w:val="000000"/>
          <w:spacing w:val="0"/>
          <w:kern w:val="0"/>
          <w:sz w:val="32"/>
          <w:szCs w:val="32"/>
        </w:rPr>
        <w:t>。</w:t>
      </w:r>
      <w:r>
        <w:rPr>
          <w:rFonts w:hint="eastAsia" w:ascii="仿宋_GB2312" w:eastAsia="仿宋_GB2312" w:cs="仿宋_GB2312"/>
          <w:color w:val="000000"/>
          <w:spacing w:val="0"/>
          <w:kern w:val="0"/>
          <w:sz w:val="32"/>
          <w:szCs w:val="32"/>
          <w:lang w:eastAsia="zh-CN"/>
        </w:rPr>
        <w:t>该</w:t>
      </w:r>
      <w:r>
        <w:rPr>
          <w:rFonts w:hint="eastAsia" w:ascii="仿宋_GB2312" w:eastAsia="仿宋_GB2312" w:cs="仿宋_GB2312"/>
          <w:color w:val="000000"/>
          <w:spacing w:val="0"/>
          <w:kern w:val="0"/>
          <w:sz w:val="32"/>
          <w:szCs w:val="32"/>
        </w:rPr>
        <w:t>项目产生的一般固体废物暂存、转移和处置须满足《中华人民共和国固体废物污染环境防治法》</w:t>
      </w:r>
      <w:r>
        <w:rPr>
          <w:rFonts w:hint="eastAsia" w:ascii="仿宋_GB2312" w:eastAsia="仿宋_GB2312" w:cs="仿宋_GB2312"/>
          <w:color w:val="000000"/>
          <w:spacing w:val="0"/>
          <w:kern w:val="0"/>
          <w:sz w:val="32"/>
          <w:szCs w:val="32"/>
          <w:lang w:eastAsia="zh-CN"/>
        </w:rPr>
        <w:t>等</w:t>
      </w:r>
      <w:r>
        <w:rPr>
          <w:rFonts w:ascii="仿宋_GB2312" w:eastAsia="仿宋_GB2312" w:cs="仿宋_GB2312"/>
          <w:color w:val="000000"/>
          <w:spacing w:val="0"/>
          <w:kern w:val="0"/>
          <w:sz w:val="32"/>
          <w:szCs w:val="32"/>
        </w:rPr>
        <w:t>法律法规和政策文件的规定</w:t>
      </w:r>
      <w:r>
        <w:rPr>
          <w:rFonts w:hint="eastAsia" w:ascii="仿宋_GB2312" w:eastAsia="仿宋_GB2312" w:cs="仿宋_GB2312"/>
          <w:color w:val="000000"/>
          <w:spacing w:val="0"/>
          <w:kern w:val="0"/>
          <w:sz w:val="32"/>
          <w:szCs w:val="32"/>
          <w:lang w:eastAsia="zh-CN"/>
        </w:rPr>
        <w:t>，</w:t>
      </w:r>
      <w:r>
        <w:rPr>
          <w:rFonts w:hint="eastAsia" w:ascii="仿宋_GB2312" w:eastAsia="仿宋_GB2312" w:cs="仿宋_GB2312"/>
          <w:color w:val="000000"/>
          <w:spacing w:val="0"/>
          <w:kern w:val="0"/>
          <w:sz w:val="32"/>
          <w:szCs w:val="32"/>
        </w:rPr>
        <w:t>同时还须</w:t>
      </w:r>
      <w:r>
        <w:rPr>
          <w:rFonts w:hint="eastAsia" w:ascii="仿宋_GB2312" w:eastAsia="仿宋_GB2312" w:cs="仿宋_GB2312"/>
          <w:color w:val="000000"/>
          <w:spacing w:val="0"/>
          <w:kern w:val="0"/>
          <w:sz w:val="32"/>
          <w:szCs w:val="32"/>
          <w:lang w:eastAsia="zh-CN"/>
        </w:rPr>
        <w:t>满足</w:t>
      </w:r>
      <w:r>
        <w:rPr>
          <w:rFonts w:hint="eastAsia" w:ascii="仿宋_GB2312" w:eastAsia="仿宋_GB2312" w:cs="仿宋_GB2312"/>
          <w:color w:val="000000"/>
          <w:spacing w:val="0"/>
          <w:kern w:val="0"/>
          <w:sz w:val="32"/>
          <w:szCs w:val="32"/>
        </w:rPr>
        <w:t>国家</w:t>
      </w:r>
      <w:r>
        <w:rPr>
          <w:rFonts w:hint="eastAsia" w:ascii="仿宋_GB2312" w:eastAsia="仿宋_GB2312" w:cs="仿宋_GB2312"/>
          <w:color w:val="000000"/>
          <w:spacing w:val="0"/>
          <w:kern w:val="0"/>
          <w:sz w:val="32"/>
          <w:szCs w:val="32"/>
          <w:lang w:eastAsia="zh-CN"/>
        </w:rPr>
        <w:t>和地方</w:t>
      </w:r>
      <w:r>
        <w:rPr>
          <w:rFonts w:hint="eastAsia" w:ascii="仿宋_GB2312" w:eastAsia="仿宋_GB2312" w:cs="仿宋_GB2312"/>
          <w:color w:val="000000"/>
          <w:spacing w:val="0"/>
          <w:kern w:val="0"/>
          <w:sz w:val="32"/>
          <w:szCs w:val="32"/>
        </w:rPr>
        <w:t>有关固废处置技术</w:t>
      </w:r>
      <w:r>
        <w:rPr>
          <w:rFonts w:hint="eastAsia" w:ascii="仿宋_GB2312" w:eastAsia="仿宋_GB2312" w:cs="仿宋_GB2312"/>
          <w:color w:val="000000"/>
          <w:spacing w:val="0"/>
          <w:kern w:val="0"/>
          <w:sz w:val="32"/>
          <w:szCs w:val="32"/>
          <w:lang w:eastAsia="zh-CN"/>
        </w:rPr>
        <w:t>规范的相关要求</w:t>
      </w:r>
      <w:r>
        <w:rPr>
          <w:rFonts w:hint="eastAsia" w:ascii="仿宋_GB2312" w:eastAsia="仿宋_GB2312" w:cs="仿宋_GB2312"/>
          <w:color w:val="000000"/>
          <w:spacing w:val="0"/>
          <w:kern w:val="0"/>
          <w:sz w:val="32"/>
          <w:szCs w:val="32"/>
        </w:rPr>
        <w:t>，确保处置过程不对环境造成二次污染</w:t>
      </w:r>
      <w:r>
        <w:rPr>
          <w:rFonts w:hint="eastAsia" w:ascii="仿宋_GB2312" w:eastAsia="仿宋_GB2312" w:cs="仿宋_GB2312"/>
          <w:color w:val="000000"/>
          <w:spacing w:val="0"/>
          <w:kern w:val="0"/>
          <w:sz w:val="32"/>
          <w:szCs w:val="32"/>
          <w:lang w:eastAsia="zh-CN"/>
        </w:rPr>
        <w:t>。该项目产生的危险废物须</w:t>
      </w:r>
      <w:r>
        <w:rPr>
          <w:rFonts w:hint="eastAsia" w:ascii="仿宋_GB2312" w:eastAsia="仿宋_GB2312" w:cs="仿宋_GB2312"/>
          <w:color w:val="000000"/>
          <w:spacing w:val="0"/>
          <w:kern w:val="0"/>
          <w:sz w:val="32"/>
          <w:szCs w:val="32"/>
        </w:rPr>
        <w:t>在危废暂存间</w:t>
      </w:r>
      <w:r>
        <w:rPr>
          <w:rFonts w:hint="eastAsia" w:ascii="仿宋_GB2312" w:eastAsia="仿宋_GB2312" w:cs="仿宋_GB2312"/>
          <w:color w:val="000000"/>
          <w:spacing w:val="0"/>
          <w:kern w:val="0"/>
          <w:sz w:val="32"/>
          <w:szCs w:val="32"/>
          <w:lang w:eastAsia="zh-CN"/>
        </w:rPr>
        <w:t>分类</w:t>
      </w:r>
      <w:r>
        <w:rPr>
          <w:rFonts w:hint="eastAsia" w:ascii="仿宋_GB2312" w:eastAsia="仿宋_GB2312" w:cs="仿宋_GB2312"/>
          <w:color w:val="000000"/>
          <w:spacing w:val="0"/>
          <w:kern w:val="0"/>
          <w:sz w:val="32"/>
          <w:szCs w:val="32"/>
        </w:rPr>
        <w:t>暂存</w:t>
      </w:r>
      <w:r>
        <w:rPr>
          <w:rFonts w:hint="eastAsia" w:ascii="仿宋_GB2312" w:eastAsia="仿宋_GB2312" w:cs="仿宋_GB2312"/>
          <w:color w:val="000000"/>
          <w:spacing w:val="0"/>
          <w:kern w:val="0"/>
          <w:sz w:val="32"/>
          <w:szCs w:val="32"/>
          <w:lang w:eastAsia="zh-CN"/>
        </w:rPr>
        <w:t>，并</w:t>
      </w:r>
      <w:r>
        <w:rPr>
          <w:rFonts w:hint="eastAsia" w:ascii="仿宋_GB2312" w:eastAsia="仿宋_GB2312" w:cs="仿宋_GB2312"/>
          <w:color w:val="000000"/>
          <w:spacing w:val="0"/>
          <w:kern w:val="0"/>
          <w:sz w:val="32"/>
          <w:szCs w:val="32"/>
        </w:rPr>
        <w:t>委托有危险废物处理资质的单位</w:t>
      </w:r>
      <w:r>
        <w:rPr>
          <w:rFonts w:hint="eastAsia" w:ascii="仿宋_GB2312" w:eastAsia="仿宋_GB2312" w:cs="仿宋_GB2312"/>
          <w:color w:val="000000"/>
          <w:spacing w:val="0"/>
          <w:kern w:val="0"/>
          <w:sz w:val="32"/>
          <w:szCs w:val="32"/>
          <w:lang w:val="en-US" w:eastAsia="zh-CN"/>
        </w:rPr>
        <w:t>依法依规</w:t>
      </w:r>
      <w:r>
        <w:rPr>
          <w:rFonts w:hint="eastAsia" w:ascii="仿宋_GB2312" w:eastAsia="仿宋_GB2312" w:cs="仿宋_GB2312"/>
          <w:color w:val="000000"/>
          <w:spacing w:val="0"/>
          <w:kern w:val="0"/>
          <w:sz w:val="32"/>
          <w:szCs w:val="32"/>
        </w:rPr>
        <w:t>处置</w:t>
      </w:r>
      <w:r>
        <w:rPr>
          <w:rFonts w:hint="eastAsia" w:ascii="仿宋_GB2312" w:eastAsia="仿宋_GB2312" w:cs="仿宋_GB2312"/>
          <w:color w:val="000000"/>
          <w:spacing w:val="0"/>
          <w:kern w:val="0"/>
          <w:sz w:val="32"/>
          <w:szCs w:val="32"/>
          <w:lang w:eastAsia="zh-CN"/>
        </w:rPr>
        <w:t>。</w:t>
      </w:r>
      <w:r>
        <w:rPr>
          <w:rFonts w:hint="eastAsia" w:ascii="仿宋_GB2312" w:eastAsia="仿宋_GB2312" w:cs="仿宋_GB2312"/>
          <w:color w:val="000000"/>
          <w:spacing w:val="0"/>
          <w:kern w:val="0"/>
          <w:sz w:val="32"/>
          <w:szCs w:val="32"/>
        </w:rPr>
        <w:t>危险废物暂存、转移和处置须满足《危险废物贮存污染控制标准》(GB18597-2001)及其修改单的相关要求，同时还须满足《危险废物收集 贮存 运输技术规范》（HJ2025</w:t>
      </w:r>
      <w:r>
        <w:rPr>
          <w:rFonts w:hint="eastAsia" w:ascii="仿宋_GB2312" w:eastAsia="仿宋_GB2312" w:cs="仿宋_GB2312"/>
          <w:color w:val="000000"/>
          <w:spacing w:val="0"/>
          <w:kern w:val="0"/>
          <w:sz w:val="32"/>
          <w:szCs w:val="32"/>
          <w:lang w:val="en-US" w:eastAsia="zh-CN"/>
        </w:rPr>
        <w:t>-2012</w:t>
      </w:r>
      <w:r>
        <w:rPr>
          <w:rFonts w:hint="eastAsia" w:ascii="仿宋_GB2312" w:eastAsia="仿宋_GB2312" w:cs="仿宋_GB2312"/>
          <w:color w:val="000000"/>
          <w:spacing w:val="0"/>
          <w:kern w:val="0"/>
          <w:sz w:val="32"/>
          <w:szCs w:val="32"/>
        </w:rPr>
        <w:t>）</w:t>
      </w:r>
      <w:r>
        <w:rPr>
          <w:rFonts w:ascii="仿宋_GB2312" w:eastAsia="仿宋_GB2312" w:cs="仿宋_GB2312"/>
          <w:color w:val="000000"/>
          <w:spacing w:val="0"/>
          <w:kern w:val="0"/>
          <w:sz w:val="32"/>
          <w:szCs w:val="32"/>
        </w:rPr>
        <w:t>和《秦皇岛市强化危险废物监管和利用处置能力改革行动方案》（秦政办字[2021]47号）</w:t>
      </w:r>
      <w:r>
        <w:rPr>
          <w:rFonts w:hint="eastAsia" w:ascii="仿宋_GB2312" w:eastAsia="仿宋_GB2312" w:cs="仿宋_GB2312"/>
          <w:color w:val="000000"/>
          <w:spacing w:val="0"/>
          <w:kern w:val="0"/>
          <w:sz w:val="32"/>
          <w:szCs w:val="32"/>
        </w:rPr>
        <w:t>相关要求。</w:t>
      </w:r>
    </w:p>
    <w:p>
      <w:pPr>
        <w:pStyle w:val="8"/>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color w:val="000000"/>
          <w:spacing w:val="0"/>
          <w:kern w:val="0"/>
          <w:sz w:val="32"/>
          <w:szCs w:val="32"/>
        </w:rPr>
      </w:pPr>
      <w:r>
        <w:rPr>
          <w:rFonts w:hint="eastAsia" w:ascii="仿宋_GB2312" w:eastAsia="仿宋_GB2312" w:cs="仿宋_GB2312"/>
          <w:color w:val="000000"/>
          <w:spacing w:val="0"/>
          <w:kern w:val="0"/>
          <w:sz w:val="32"/>
          <w:szCs w:val="32"/>
          <w:lang w:val="en-US" w:eastAsia="zh-CN"/>
        </w:rPr>
        <w:t>5.认真落实《报告书》中其他环境管理要求</w:t>
      </w:r>
      <w:r>
        <w:rPr>
          <w:rFonts w:ascii="仿宋_GB2312" w:eastAsia="仿宋_GB2312" w:cs="仿宋_GB2312"/>
          <w:color w:val="000000"/>
          <w:spacing w:val="0"/>
          <w:kern w:val="0"/>
          <w:sz w:val="32"/>
          <w:szCs w:val="32"/>
          <w:lang w:val="en-US" w:eastAsia="zh-CN"/>
        </w:rPr>
        <w:t>。</w:t>
      </w:r>
      <w:r>
        <w:rPr>
          <w:rFonts w:hint="eastAsia" w:ascii="仿宋_GB2312" w:eastAsia="仿宋_GB2312" w:cs="仿宋_GB2312"/>
          <w:color w:val="000000"/>
          <w:spacing w:val="0"/>
          <w:kern w:val="0"/>
          <w:sz w:val="32"/>
          <w:szCs w:val="32"/>
        </w:rPr>
        <w:t>如国家和地方另有更严格的相关法律法规、</w:t>
      </w:r>
      <w:r>
        <w:rPr>
          <w:rFonts w:hint="eastAsia" w:ascii="仿宋_GB2312" w:eastAsia="仿宋_GB2312" w:cs="仿宋_GB2312"/>
          <w:color w:val="000000"/>
          <w:spacing w:val="0"/>
          <w:kern w:val="0"/>
          <w:sz w:val="32"/>
          <w:szCs w:val="32"/>
          <w:lang w:eastAsia="zh-CN"/>
        </w:rPr>
        <w:t>规章、</w:t>
      </w:r>
      <w:r>
        <w:rPr>
          <w:rFonts w:hint="eastAsia" w:ascii="仿宋_GB2312" w:eastAsia="仿宋_GB2312" w:cs="仿宋_GB2312"/>
          <w:color w:val="000000"/>
          <w:spacing w:val="0"/>
          <w:kern w:val="0"/>
          <w:sz w:val="32"/>
          <w:szCs w:val="32"/>
        </w:rPr>
        <w:t>标准以及生态环境监督管理</w:t>
      </w:r>
      <w:r>
        <w:rPr>
          <w:rFonts w:hint="eastAsia" w:ascii="仿宋_GB2312" w:eastAsia="仿宋_GB2312" w:cs="仿宋_GB2312"/>
          <w:color w:val="000000"/>
          <w:spacing w:val="0"/>
          <w:kern w:val="0"/>
          <w:sz w:val="32"/>
          <w:szCs w:val="32"/>
          <w:lang w:val="en-US" w:eastAsia="zh-CN"/>
        </w:rPr>
        <w:t>等</w:t>
      </w:r>
      <w:r>
        <w:rPr>
          <w:rFonts w:hint="eastAsia" w:ascii="仿宋_GB2312" w:eastAsia="仿宋_GB2312" w:cs="仿宋_GB2312"/>
          <w:color w:val="000000"/>
          <w:spacing w:val="0"/>
          <w:kern w:val="0"/>
          <w:sz w:val="32"/>
          <w:szCs w:val="32"/>
        </w:rPr>
        <w:t>要求的，按最严格规定执行。</w:t>
      </w:r>
    </w:p>
    <w:p>
      <w:pPr>
        <w:pStyle w:val="2"/>
        <w:keepNext w:val="0"/>
        <w:keepLines w:val="0"/>
        <w:pageBreakBefore w:val="0"/>
        <w:widowControl w:val="0"/>
        <w:bidi w:val="0"/>
        <w:adjustRightInd w:val="0"/>
        <w:snapToGrid w:val="0"/>
        <w:spacing w:after="0" w:line="560" w:lineRule="exact"/>
        <w:ind w:firstLine="640" w:firstLineChars="200"/>
        <w:rPr>
          <w:rFonts w:eastAsia="仿宋_GB2312"/>
          <w:color w:val="000000"/>
          <w:sz w:val="32"/>
        </w:rPr>
      </w:pPr>
      <w:r>
        <w:rPr>
          <w:rFonts w:ascii="仿宋_GB2312" w:eastAsia="仿宋_GB2312" w:cs="仿宋_GB2312"/>
          <w:color w:val="000000"/>
          <w:spacing w:val="0"/>
          <w:kern w:val="0"/>
          <w:sz w:val="32"/>
          <w:szCs w:val="32"/>
        </w:rPr>
        <w:t>四</w:t>
      </w:r>
      <w:r>
        <w:rPr>
          <w:rFonts w:hint="eastAsia" w:ascii="仿宋_GB2312" w:eastAsia="仿宋_GB2312" w:cs="仿宋_GB2312"/>
          <w:color w:val="000000"/>
          <w:spacing w:val="0"/>
          <w:kern w:val="0"/>
          <w:sz w:val="32"/>
          <w:szCs w:val="32"/>
        </w:rPr>
        <w:t>、强化环境风险防范和应急措施。制订完善的环境管理</w:t>
      </w:r>
      <w:r>
        <w:rPr>
          <w:rFonts w:hint="eastAsia" w:ascii="仿宋_GB2312" w:eastAsia="仿宋_GB2312" w:cs="仿宋_GB2312"/>
          <w:color w:val="000000"/>
          <w:spacing w:val="0"/>
          <w:kern w:val="0"/>
          <w:sz w:val="32"/>
          <w:szCs w:val="32"/>
          <w:lang w:val="en-US" w:eastAsia="zh-CN"/>
        </w:rPr>
        <w:t>和</w:t>
      </w:r>
      <w:r>
        <w:rPr>
          <w:rFonts w:hint="eastAsia" w:ascii="仿宋_GB2312" w:eastAsia="仿宋_GB2312" w:cs="仿宋_GB2312"/>
          <w:color w:val="000000"/>
          <w:spacing w:val="0"/>
          <w:kern w:val="0"/>
          <w:sz w:val="32"/>
          <w:szCs w:val="32"/>
        </w:rPr>
        <w:t>风险</w:t>
      </w:r>
      <w:r>
        <w:rPr>
          <w:rFonts w:hint="eastAsia" w:ascii="仿宋_GB2312" w:eastAsia="仿宋_GB2312" w:cs="仿宋_GB2312"/>
          <w:color w:val="000000"/>
          <w:spacing w:val="0"/>
          <w:kern w:val="0"/>
          <w:sz w:val="32"/>
          <w:szCs w:val="32"/>
          <w:lang w:val="en-US" w:eastAsia="zh-CN"/>
        </w:rPr>
        <w:t>防范</w:t>
      </w:r>
      <w:r>
        <w:rPr>
          <w:rFonts w:hint="eastAsia" w:ascii="仿宋_GB2312" w:eastAsia="仿宋_GB2312" w:cs="仿宋_GB2312"/>
          <w:color w:val="000000"/>
          <w:spacing w:val="0"/>
          <w:kern w:val="0"/>
          <w:sz w:val="32"/>
          <w:szCs w:val="32"/>
        </w:rPr>
        <w:t>措施，设施配备齐全，加强相关人员培训。加强风险源管控，严格落实《报告书》中环境风险防范措施，</w:t>
      </w:r>
      <w:r>
        <w:rPr>
          <w:rFonts w:ascii="仿宋_GB2312" w:eastAsia="仿宋_GB2312" w:cs="仿宋_GB2312"/>
          <w:color w:val="000000"/>
          <w:spacing w:val="0"/>
          <w:kern w:val="0"/>
          <w:sz w:val="32"/>
          <w:szCs w:val="32"/>
        </w:rPr>
        <w:t>修订</w:t>
      </w:r>
      <w:r>
        <w:rPr>
          <w:rFonts w:hint="eastAsia" w:ascii="仿宋_GB2312" w:eastAsia="仿宋_GB2312" w:cs="仿宋_GB2312"/>
          <w:color w:val="000000"/>
          <w:spacing w:val="0"/>
          <w:kern w:val="0"/>
          <w:sz w:val="32"/>
          <w:szCs w:val="32"/>
        </w:rPr>
        <w:t>突发环境事件应急预案，并报当地</w:t>
      </w:r>
      <w:r>
        <w:rPr>
          <w:rFonts w:hint="eastAsia" w:ascii="仿宋_GB2312" w:eastAsia="仿宋_GB2312" w:cs="仿宋_GB2312"/>
          <w:color w:val="000000"/>
          <w:spacing w:val="0"/>
          <w:kern w:val="0"/>
          <w:sz w:val="32"/>
          <w:szCs w:val="32"/>
          <w:lang w:eastAsia="zh-CN"/>
        </w:rPr>
        <w:t>生态环境</w:t>
      </w:r>
      <w:r>
        <w:rPr>
          <w:rFonts w:hint="eastAsia" w:ascii="仿宋_GB2312" w:eastAsia="仿宋_GB2312" w:cs="仿宋_GB2312"/>
          <w:color w:val="000000"/>
          <w:spacing w:val="0"/>
          <w:kern w:val="0"/>
          <w:sz w:val="32"/>
          <w:szCs w:val="32"/>
        </w:rPr>
        <w:t>部门备案，同时与当地政府及相关部门应急预案做好衔接，定期进行应急培训和演练，有效防范和应对环境风险。</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eastAsia="仿宋_GB2312" w:cs="仿宋_GB2312"/>
          <w:color w:val="000000"/>
          <w:spacing w:val="0"/>
          <w:kern w:val="0"/>
          <w:sz w:val="32"/>
          <w:szCs w:val="32"/>
          <w:lang w:val="en-US" w:eastAsia="zh-CN" w:bidi="ar-SA"/>
        </w:rPr>
      </w:pPr>
      <w:r>
        <w:rPr>
          <w:rFonts w:ascii="仿宋_GB2312" w:eastAsia="仿宋_GB2312" w:cs="仿宋_GB2312"/>
          <w:color w:val="000000"/>
          <w:spacing w:val="0"/>
          <w:kern w:val="0"/>
          <w:sz w:val="32"/>
          <w:szCs w:val="32"/>
        </w:rPr>
        <w:t>五</w:t>
      </w:r>
      <w:r>
        <w:rPr>
          <w:rFonts w:hint="eastAsia" w:ascii="仿宋_GB2312" w:eastAsia="仿宋_GB2312" w:cs="仿宋_GB2312"/>
          <w:color w:val="000000"/>
          <w:spacing w:val="0"/>
          <w:kern w:val="0"/>
          <w:sz w:val="32"/>
          <w:szCs w:val="32"/>
        </w:rPr>
        <w:t>、严格落实《报告书》中各项环境管理要求及清洁生产措施。对</w:t>
      </w:r>
      <w:r>
        <w:rPr>
          <w:rFonts w:hint="eastAsia" w:ascii="仿宋_GB2312" w:eastAsia="仿宋_GB2312" w:cs="仿宋_GB2312"/>
          <w:color w:val="000000"/>
          <w:spacing w:val="0"/>
          <w:kern w:val="0"/>
          <w:sz w:val="32"/>
          <w:szCs w:val="32"/>
          <w:lang w:val="en-US" w:eastAsia="zh-CN"/>
        </w:rPr>
        <w:t>生产设施和</w:t>
      </w:r>
      <w:r>
        <w:rPr>
          <w:rFonts w:hint="eastAsia" w:ascii="仿宋_GB2312" w:eastAsia="仿宋_GB2312" w:cs="仿宋_GB2312"/>
          <w:color w:val="000000"/>
          <w:spacing w:val="0"/>
          <w:kern w:val="0"/>
          <w:sz w:val="32"/>
          <w:szCs w:val="32"/>
        </w:rPr>
        <w:t>污染防治设施</w:t>
      </w:r>
      <w:r>
        <w:rPr>
          <w:rFonts w:hint="eastAsia" w:ascii="仿宋_GB2312" w:eastAsia="仿宋_GB2312" w:cs="仿宋_GB2312"/>
          <w:color w:val="000000"/>
          <w:spacing w:val="0"/>
          <w:kern w:val="0"/>
          <w:sz w:val="32"/>
          <w:szCs w:val="32"/>
          <w:lang w:val="en-US" w:eastAsia="zh-CN"/>
        </w:rPr>
        <w:t>实行</w:t>
      </w:r>
      <w:r>
        <w:rPr>
          <w:rFonts w:hint="eastAsia" w:ascii="仿宋_GB2312" w:eastAsia="仿宋_GB2312" w:cs="仿宋_GB2312"/>
          <w:color w:val="000000"/>
          <w:spacing w:val="0"/>
          <w:kern w:val="0"/>
          <w:sz w:val="32"/>
          <w:szCs w:val="32"/>
        </w:rPr>
        <w:t>分表计电。企业须按照国家和地方排污许可有关规定，及时办理排污许可相关事宜。</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color w:val="000000"/>
          <w:spacing w:val="0"/>
          <w:kern w:val="0"/>
          <w:sz w:val="32"/>
          <w:szCs w:val="32"/>
        </w:rPr>
      </w:pPr>
      <w:r>
        <w:rPr>
          <w:rFonts w:ascii="仿宋_GB2312" w:eastAsia="仿宋_GB2312" w:cs="仿宋_GB2312"/>
          <w:color w:val="000000"/>
          <w:spacing w:val="0"/>
          <w:kern w:val="0"/>
          <w:sz w:val="32"/>
          <w:szCs w:val="32"/>
        </w:rPr>
        <w:t>六</w:t>
      </w:r>
      <w:r>
        <w:rPr>
          <w:rFonts w:hint="eastAsia" w:ascii="仿宋_GB2312" w:eastAsia="仿宋_GB2312" w:cs="仿宋_GB2312"/>
          <w:color w:val="000000"/>
          <w:spacing w:val="0"/>
          <w:kern w:val="0"/>
          <w:sz w:val="32"/>
          <w:szCs w:val="32"/>
        </w:rPr>
        <w:t>、在项目运营过程中，应建立畅通的公众参与平台，及时解决公众担忧的环境问题，满足公众合理的环境诉求。定期发布企业环境信息，主动接受社会监督。</w:t>
      </w:r>
    </w:p>
    <w:p>
      <w:pPr>
        <w:keepNext w:val="0"/>
        <w:keepLines w:val="0"/>
        <w:pageBreakBefore w:val="0"/>
        <w:widowControl w:val="0"/>
        <w:tabs>
          <w:tab w:val="left" w:pos="0"/>
          <w:tab w:val="left" w:pos="1155"/>
        </w:tabs>
        <w:kinsoku/>
        <w:wordWrap/>
        <w:overflowPunct/>
        <w:topLinePunct w:val="0"/>
        <w:bidi w:val="0"/>
        <w:adjustRightInd w:val="0"/>
        <w:snapToGrid w:val="0"/>
        <w:spacing w:line="560" w:lineRule="exact"/>
        <w:ind w:firstLine="640" w:firstLineChars="200"/>
        <w:textAlignment w:val="auto"/>
        <w:rPr>
          <w:rFonts w:hint="eastAsia" w:ascii="仿宋_GB2312" w:eastAsia="仿宋_GB2312" w:cs="仿宋_GB2312"/>
          <w:color w:val="000000"/>
          <w:spacing w:val="0"/>
          <w:kern w:val="0"/>
          <w:sz w:val="32"/>
          <w:szCs w:val="32"/>
          <w:shd w:val="clear" w:color="auto" w:fill="FFFFFF"/>
        </w:rPr>
      </w:pPr>
      <w:r>
        <w:rPr>
          <w:rFonts w:ascii="仿宋_GB2312" w:eastAsia="仿宋_GB2312" w:cs="仿宋_GB2312"/>
          <w:color w:val="000000"/>
          <w:kern w:val="0"/>
          <w:sz w:val="32"/>
          <w:szCs w:val="32"/>
          <w:shd w:val="clear" w:color="auto" w:fill="FFFFFF"/>
        </w:rPr>
        <w:t>七</w:t>
      </w:r>
      <w:r>
        <w:rPr>
          <w:rFonts w:hint="eastAsia" w:ascii="仿宋_GB2312" w:eastAsia="仿宋_GB2312" w:cs="仿宋_GB2312"/>
          <w:color w:val="000000"/>
          <w:kern w:val="0"/>
          <w:sz w:val="32"/>
          <w:szCs w:val="32"/>
          <w:shd w:val="clear" w:color="auto" w:fill="FFFFFF"/>
        </w:rPr>
        <w:t>、进一步</w:t>
      </w:r>
      <w:r>
        <w:rPr>
          <w:rFonts w:hint="eastAsia" w:ascii="仿宋_GB2312" w:eastAsia="仿宋_GB2312" w:cs="仿宋_GB2312"/>
          <w:color w:val="000000"/>
          <w:spacing w:val="0"/>
          <w:kern w:val="0"/>
          <w:sz w:val="32"/>
          <w:szCs w:val="32"/>
          <w:shd w:val="clear" w:color="auto" w:fill="FFFFFF"/>
        </w:rPr>
        <w:t>强化污染源管理工作。按照国家和地方有关规定，建设规范的污染物排放口，设立标志牌。</w:t>
      </w:r>
      <w:r>
        <w:rPr>
          <w:rFonts w:hint="eastAsia" w:ascii="仿宋_GB2312" w:eastAsia="仿宋_GB2312" w:cs="仿宋_GB2312"/>
          <w:color w:val="000000"/>
          <w:spacing w:val="0"/>
          <w:kern w:val="0"/>
          <w:sz w:val="32"/>
          <w:szCs w:val="32"/>
          <w:shd w:val="clear" w:color="auto" w:fill="FFFFFF"/>
          <w:lang w:eastAsia="zh-CN"/>
        </w:rPr>
        <w:t>同时还要严格按照环境监测管理规定和监测技术规范等相关要求以及《报告书》提出的相关监测要求，</w:t>
      </w:r>
      <w:r>
        <w:rPr>
          <w:rFonts w:hint="eastAsia" w:ascii="仿宋_GB2312" w:eastAsia="仿宋_GB2312" w:cs="仿宋_GB2312"/>
          <w:color w:val="000000"/>
          <w:spacing w:val="0"/>
          <w:kern w:val="0"/>
          <w:sz w:val="32"/>
          <w:szCs w:val="32"/>
          <w:shd w:val="clear" w:color="auto" w:fill="FFFFFF"/>
        </w:rPr>
        <w:t>设计、建设、维护永久性采样口、采样测试平台</w:t>
      </w:r>
      <w:r>
        <w:rPr>
          <w:rFonts w:hint="eastAsia" w:ascii="仿宋_GB2312" w:eastAsia="仿宋_GB2312" w:cs="仿宋_GB2312"/>
          <w:color w:val="000000"/>
          <w:spacing w:val="0"/>
          <w:kern w:val="0"/>
          <w:sz w:val="32"/>
          <w:szCs w:val="32"/>
          <w:shd w:val="clear" w:color="auto" w:fill="FFFFFF"/>
          <w:lang w:eastAsia="zh-CN"/>
        </w:rPr>
        <w:t>等，并认真落实各项监测工作要求。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textAlignment w:val="auto"/>
        <w:rPr>
          <w:rFonts w:ascii="仿宋_GB2312" w:eastAsia="仿宋_GB2312" w:cs="仿宋_GB2312"/>
          <w:color w:val="000000"/>
          <w:spacing w:val="0"/>
          <w:kern w:val="0"/>
          <w:sz w:val="32"/>
          <w:szCs w:val="32"/>
          <w:shd w:val="clear" w:color="auto" w:fill="FFFFFF"/>
        </w:rPr>
      </w:pPr>
      <w:r>
        <w:rPr>
          <w:rFonts w:ascii="仿宋_GB2312" w:eastAsia="仿宋_GB2312" w:cs="仿宋_GB2312"/>
          <w:color w:val="000000"/>
          <w:spacing w:val="0"/>
          <w:kern w:val="0"/>
          <w:sz w:val="32"/>
          <w:szCs w:val="32"/>
          <w:shd w:val="clear" w:color="auto" w:fill="FFFFFF"/>
        </w:rPr>
        <w:t>八</w:t>
      </w:r>
      <w:r>
        <w:rPr>
          <w:rFonts w:hint="eastAsia" w:ascii="仿宋_GB2312" w:eastAsia="仿宋_GB2312" w:cs="仿宋_GB2312"/>
          <w:color w:val="000000"/>
          <w:spacing w:val="0"/>
          <w:kern w:val="0"/>
          <w:sz w:val="32"/>
          <w:szCs w:val="32"/>
          <w:shd w:val="clear" w:color="auto" w:fill="FFFFFF"/>
        </w:rPr>
        <w:t>、项目建设必须严格执行配套建设的环境保护设施与主体工程同时设计、同时施工、同时投入使用的环境保护“三同时”制度。项目竣工后，须按规定开展环境保护设施竣工验收工作</w:t>
      </w:r>
      <w:r>
        <w:rPr>
          <w:rFonts w:hint="eastAsia" w:ascii="仿宋_GB2312" w:eastAsia="仿宋_GB2312" w:cs="仿宋_GB2312"/>
          <w:color w:val="000000"/>
          <w:spacing w:val="0"/>
          <w:kern w:val="0"/>
          <w:sz w:val="32"/>
          <w:szCs w:val="32"/>
          <w:shd w:val="clear" w:color="auto" w:fill="FFFFFF"/>
          <w:lang w:val="zh-CN" w:eastAsia="zh-CN"/>
        </w:rPr>
        <w:t>。</w:t>
      </w:r>
      <w:r>
        <w:rPr>
          <w:rFonts w:hint="eastAsia" w:ascii="仿宋_GB2312" w:eastAsia="仿宋_GB2312" w:cs="仿宋_GB2312"/>
          <w:color w:val="000000"/>
          <w:spacing w:val="0"/>
          <w:kern w:val="0"/>
          <w:sz w:val="32"/>
          <w:szCs w:val="32"/>
          <w:shd w:val="clear" w:color="auto" w:fill="FFFFFF"/>
        </w:rPr>
        <w:t>验收合格后，项目方可正式投入生产或者使用，未经验收或者验收不合格的，不得投入生产或者使用。本项目环境影响评价文件经批准后，如设计和施工变化造成工程性质、规模、工艺、防治污染的措施</w:t>
      </w:r>
      <w:r>
        <w:rPr>
          <w:rFonts w:hint="eastAsia" w:ascii="仿宋_GB2312" w:eastAsia="仿宋_GB2312" w:cs="仿宋_GB2312"/>
          <w:color w:val="000000"/>
          <w:spacing w:val="0"/>
          <w:kern w:val="0"/>
          <w:sz w:val="32"/>
          <w:szCs w:val="32"/>
          <w:shd w:val="clear" w:color="auto" w:fill="FFFFFF"/>
          <w:lang w:eastAsia="zh-CN"/>
        </w:rPr>
        <w:t>等</w:t>
      </w:r>
      <w:r>
        <w:rPr>
          <w:rFonts w:hint="eastAsia" w:ascii="仿宋_GB2312" w:eastAsia="仿宋_GB2312" w:cs="仿宋_GB2312"/>
          <w:color w:val="000000"/>
          <w:spacing w:val="0"/>
          <w:kern w:val="0"/>
          <w:sz w:val="32"/>
          <w:szCs w:val="32"/>
          <w:shd w:val="clear" w:color="auto" w:fill="FFFFFF"/>
        </w:rPr>
        <w:t>发生重大变动的，应当在调整前</w:t>
      </w:r>
      <w:r>
        <w:rPr>
          <w:rFonts w:hint="eastAsia" w:ascii="仿宋_GB2312" w:eastAsia="仿宋_GB2312" w:cs="仿宋_GB2312"/>
          <w:color w:val="000000"/>
          <w:spacing w:val="0"/>
          <w:kern w:val="0"/>
          <w:sz w:val="32"/>
          <w:szCs w:val="32"/>
          <w:shd w:val="clear" w:color="auto" w:fill="FFFFFF"/>
          <w:lang w:eastAsia="zh-CN"/>
        </w:rPr>
        <w:t>依法依规</w:t>
      </w:r>
      <w:r>
        <w:rPr>
          <w:rFonts w:hint="eastAsia" w:ascii="仿宋_GB2312" w:eastAsia="仿宋_GB2312" w:cs="仿宋_GB2312"/>
          <w:color w:val="000000"/>
          <w:spacing w:val="0"/>
          <w:kern w:val="0"/>
          <w:sz w:val="32"/>
          <w:szCs w:val="32"/>
          <w:shd w:val="clear" w:color="auto" w:fill="FFFFFF"/>
        </w:rPr>
        <w:t>重新报批本项目环境影响评价文件。</w:t>
      </w:r>
      <w:r>
        <w:rPr>
          <w:rFonts w:hint="eastAsia" w:ascii="仿宋_GB2312" w:eastAsia="仿宋_GB2312" w:cs="仿宋_GB2312"/>
          <w:color w:val="000000"/>
          <w:spacing w:val="0"/>
          <w:kern w:val="0"/>
          <w:sz w:val="32"/>
          <w:szCs w:val="32"/>
          <w:shd w:val="clear" w:color="auto" w:fill="FFFFFF"/>
          <w:lang w:eastAsia="zh-CN"/>
        </w:rPr>
        <w:t>项目</w:t>
      </w:r>
      <w:r>
        <w:rPr>
          <w:rFonts w:hint="eastAsia" w:ascii="仿宋_GB2312" w:eastAsia="仿宋_GB2312" w:cs="仿宋_GB2312"/>
          <w:color w:val="000000"/>
          <w:spacing w:val="0"/>
          <w:kern w:val="0"/>
          <w:sz w:val="32"/>
          <w:szCs w:val="32"/>
          <w:shd w:val="clear" w:color="auto" w:fill="FFFFFF"/>
        </w:rPr>
        <w:t>自批复之日起五年后方决定开工建设的，须将环评文件报行政审批部门重新审核。</w:t>
      </w:r>
    </w:p>
    <w:p>
      <w:pPr>
        <w:pStyle w:val="2"/>
        <w:keepNext w:val="0"/>
        <w:keepLines w:val="0"/>
        <w:pageBreakBefore w:val="0"/>
        <w:widowControl w:val="0"/>
        <w:adjustRightInd w:val="0"/>
        <w:snapToGrid w:val="0"/>
        <w:spacing w:after="0" w:line="560" w:lineRule="exact"/>
        <w:ind w:firstLine="640" w:firstLineChars="200"/>
        <w:rPr>
          <w:rFonts w:ascii="仿宋_GB2312" w:eastAsia="仿宋_GB2312" w:cs="仿宋_GB2312"/>
          <w:color w:val="000000"/>
          <w:kern w:val="0"/>
          <w:sz w:val="32"/>
          <w:szCs w:val="32"/>
        </w:rPr>
      </w:pPr>
      <w:r>
        <w:rPr>
          <w:rFonts w:ascii="仿宋_GB2312" w:eastAsia="仿宋_GB2312" w:cs="仿宋_GB2312"/>
          <w:color w:val="000000"/>
          <w:spacing w:val="0"/>
          <w:kern w:val="0"/>
          <w:sz w:val="32"/>
          <w:szCs w:val="32"/>
          <w:shd w:val="clear" w:color="auto" w:fill="FFFFFF"/>
        </w:rPr>
        <w:t>九</w:t>
      </w:r>
      <w:r>
        <w:rPr>
          <w:rFonts w:hint="eastAsia" w:ascii="仿宋_GB2312" w:eastAsia="仿宋_GB2312" w:cs="仿宋_GB2312"/>
          <w:color w:val="000000"/>
          <w:spacing w:val="0"/>
          <w:kern w:val="0"/>
          <w:sz w:val="32"/>
          <w:szCs w:val="32"/>
          <w:shd w:val="clear" w:color="auto" w:fill="FFFFFF"/>
        </w:rPr>
        <w:t>、</w:t>
      </w:r>
      <w:r>
        <w:rPr>
          <w:rFonts w:hint="eastAsia" w:ascii="仿宋_GB2312" w:eastAsia="仿宋_GB2312"/>
          <w:color w:val="000000"/>
          <w:sz w:val="32"/>
          <w:szCs w:val="32"/>
        </w:rPr>
        <w:t>你</w:t>
      </w:r>
      <w:r>
        <w:rPr>
          <w:rFonts w:ascii="仿宋_GB2312" w:eastAsia="仿宋_GB2312"/>
          <w:color w:val="000000"/>
          <w:sz w:val="32"/>
          <w:szCs w:val="32"/>
        </w:rPr>
        <w:t>公司</w:t>
      </w:r>
      <w:r>
        <w:rPr>
          <w:rFonts w:hint="eastAsia" w:ascii="仿宋_GB2312" w:eastAsia="仿宋_GB2312"/>
          <w:color w:val="000000"/>
          <w:sz w:val="32"/>
          <w:szCs w:val="32"/>
        </w:rPr>
        <w:t>在接到本批复后</w:t>
      </w:r>
      <w:r>
        <w:rPr>
          <w:rFonts w:hint="eastAsia" w:ascii="仿宋_GB2312" w:eastAsia="仿宋_GB2312" w:cs="仿宋_GB2312"/>
          <w:color w:val="000000"/>
          <w:kern w:val="0"/>
          <w:sz w:val="32"/>
          <w:szCs w:val="32"/>
          <w:shd w:val="clear" w:color="auto" w:fill="FFFFFF"/>
        </w:rPr>
        <w:t>的10个工作日内</w:t>
      </w:r>
      <w:r>
        <w:rPr>
          <w:rFonts w:hint="eastAsia" w:ascii="仿宋_GB2312" w:eastAsia="仿宋_GB2312"/>
          <w:color w:val="000000"/>
          <w:sz w:val="32"/>
          <w:szCs w:val="32"/>
        </w:rPr>
        <w:t>，须将《报告</w:t>
      </w:r>
      <w:r>
        <w:rPr>
          <w:rFonts w:ascii="仿宋_GB2312" w:eastAsia="仿宋_GB2312"/>
          <w:color w:val="000000"/>
          <w:sz w:val="32"/>
          <w:szCs w:val="32"/>
        </w:rPr>
        <w:t>书</w:t>
      </w:r>
      <w:r>
        <w:rPr>
          <w:rFonts w:hint="eastAsia" w:ascii="仿宋_GB2312" w:eastAsia="仿宋_GB2312"/>
          <w:color w:val="000000"/>
          <w:sz w:val="32"/>
          <w:szCs w:val="32"/>
        </w:rPr>
        <w:t>》及其批复文件送至生态环境行政主管部门备案，</w:t>
      </w:r>
      <w:r>
        <w:rPr>
          <w:rFonts w:hint="eastAsia" w:ascii="仿宋_GB2312" w:eastAsia="仿宋_GB2312" w:cs="仿宋_GB2312"/>
          <w:color w:val="000000"/>
          <w:kern w:val="0"/>
          <w:sz w:val="32"/>
          <w:szCs w:val="32"/>
          <w:shd w:val="clear" w:color="auto" w:fill="FFFFFF"/>
        </w:rPr>
        <w:t xml:space="preserve">并按规定接受各级生态环境行政主管部门的监督检查。 </w:t>
      </w:r>
    </w:p>
    <w:p>
      <w:pPr>
        <w:pStyle w:val="2"/>
        <w:keepNext w:val="0"/>
        <w:keepLines w:val="0"/>
        <w:pageBreakBefore w:val="0"/>
        <w:widowControl w:val="0"/>
        <w:adjustRightInd w:val="0"/>
        <w:snapToGrid w:val="0"/>
        <w:spacing w:after="0" w:line="560" w:lineRule="exact"/>
        <w:ind w:left="0" w:firstLine="640" w:firstLineChars="200"/>
        <w:rPr>
          <w:rFonts w:ascii="仿宋_GB2312" w:eastAsia="仿宋_GB2312" w:cs="仿宋_GB2312"/>
          <w:color w:val="000000"/>
          <w:kern w:val="0"/>
          <w:sz w:val="32"/>
          <w:szCs w:val="32"/>
        </w:rPr>
      </w:pPr>
    </w:p>
    <w:p>
      <w:pPr>
        <w:pStyle w:val="2"/>
        <w:adjustRightInd w:val="0"/>
        <w:snapToGrid w:val="0"/>
        <w:spacing w:after="0" w:line="560" w:lineRule="exact"/>
        <w:ind w:firstLine="640" w:firstLineChars="200"/>
        <w:rPr>
          <w:rFonts w:hint="eastAsia" w:eastAsia="仿宋_GB2312"/>
          <w:color w:val="000000"/>
          <w:sz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280" w:firstLineChars="1650"/>
        <w:textAlignment w:val="auto"/>
        <w:rPr>
          <w:rFonts w:ascii="仿宋_GB2312" w:eastAsia="仿宋_GB2312" w:cs="仿宋_GB2312"/>
          <w:color w:val="000000"/>
          <w:spacing w:val="0"/>
          <w:kern w:val="0"/>
          <w:sz w:val="32"/>
          <w:szCs w:val="32"/>
          <w:shd w:val="clear" w:color="auto" w:fill="FFFFFF"/>
        </w:rPr>
      </w:pPr>
      <w:r>
        <w:rPr>
          <w:rFonts w:hint="eastAsia" w:ascii="仿宋_GB2312" w:eastAsia="仿宋_GB2312" w:cs="仿宋_GB2312"/>
          <w:color w:val="000000"/>
          <w:spacing w:val="0"/>
          <w:kern w:val="0"/>
          <w:sz w:val="32"/>
          <w:szCs w:val="32"/>
          <w:shd w:val="clear" w:color="auto" w:fill="FFFFFF"/>
        </w:rPr>
        <w:t>秦皇岛市行政审批局</w:t>
      </w:r>
    </w:p>
    <w:p>
      <w:pPr>
        <w:keepNext w:val="0"/>
        <w:keepLines w:val="0"/>
        <w:pageBreakBefore w:val="0"/>
        <w:widowControl w:val="0"/>
        <w:kinsoku/>
        <w:wordWrap/>
        <w:overflowPunct/>
        <w:topLinePunct w:val="0"/>
        <w:adjustRightInd w:val="0"/>
        <w:snapToGrid w:val="0"/>
        <w:spacing w:line="560" w:lineRule="exact"/>
        <w:ind w:firstLine="5600" w:firstLineChars="1750"/>
        <w:rPr>
          <w:rFonts w:hint="eastAsia" w:ascii="仿宋_GB2312" w:eastAsia="仿宋_GB2312" w:cs="Helvetica"/>
          <w:color w:val="000000"/>
          <w:kern w:val="0"/>
          <w:sz w:val="32"/>
          <w:szCs w:val="32"/>
        </w:rPr>
      </w:pPr>
      <w:r>
        <w:rPr>
          <w:rFonts w:hint="eastAsia" w:ascii="仿宋_GB2312" w:eastAsia="仿宋_GB2312" w:cs="仿宋_GB2312"/>
          <w:color w:val="000000"/>
          <w:spacing w:val="0"/>
          <w:kern w:val="0"/>
          <w:sz w:val="32"/>
          <w:szCs w:val="32"/>
          <w:shd w:val="clear" w:color="auto" w:fill="FFFFFF"/>
        </w:rPr>
        <w:t>202</w:t>
      </w:r>
      <w:r>
        <w:rPr>
          <w:rFonts w:ascii="仿宋_GB2312" w:eastAsia="仿宋_GB2312" w:cs="仿宋_GB2312"/>
          <w:color w:val="000000"/>
          <w:spacing w:val="0"/>
          <w:kern w:val="0"/>
          <w:sz w:val="32"/>
          <w:szCs w:val="32"/>
          <w:shd w:val="clear" w:color="auto" w:fill="FFFFFF"/>
        </w:rPr>
        <w:t>2</w:t>
      </w:r>
      <w:r>
        <w:rPr>
          <w:rFonts w:hint="eastAsia" w:ascii="仿宋_GB2312" w:eastAsia="仿宋_GB2312" w:cs="仿宋_GB2312"/>
          <w:color w:val="000000"/>
          <w:spacing w:val="0"/>
          <w:kern w:val="0"/>
          <w:sz w:val="32"/>
          <w:szCs w:val="32"/>
          <w:shd w:val="clear" w:color="auto" w:fill="FFFFFF"/>
        </w:rPr>
        <w:t>年</w:t>
      </w:r>
      <w:r>
        <w:rPr>
          <w:rFonts w:ascii="仿宋_GB2312" w:eastAsia="仿宋_GB2312" w:cs="仿宋_GB2312"/>
          <w:color w:val="000000"/>
          <w:spacing w:val="0"/>
          <w:kern w:val="0"/>
          <w:sz w:val="32"/>
          <w:szCs w:val="32"/>
          <w:shd w:val="clear" w:color="auto" w:fill="FFFFFF"/>
          <w:lang w:val="en-US" w:eastAsia="zh-CN"/>
        </w:rPr>
        <w:t>3</w:t>
      </w:r>
      <w:r>
        <w:rPr>
          <w:rFonts w:hint="eastAsia" w:ascii="仿宋_GB2312" w:eastAsia="仿宋_GB2312" w:cs="仿宋_GB2312"/>
          <w:color w:val="000000"/>
          <w:spacing w:val="0"/>
          <w:kern w:val="0"/>
          <w:sz w:val="32"/>
          <w:szCs w:val="32"/>
          <w:shd w:val="clear" w:color="auto" w:fill="FFFFFF"/>
        </w:rPr>
        <w:t>月</w:t>
      </w:r>
      <w:r>
        <w:rPr>
          <w:rFonts w:hint="eastAsia" w:ascii="仿宋_GB2312" w:eastAsia="仿宋_GB2312" w:cs="仿宋_GB2312"/>
          <w:color w:val="000000"/>
          <w:spacing w:val="0"/>
          <w:kern w:val="0"/>
          <w:sz w:val="32"/>
          <w:szCs w:val="32"/>
          <w:shd w:val="clear" w:color="auto" w:fill="FFFFFF"/>
          <w:lang w:val="en-US" w:eastAsia="zh-CN"/>
        </w:rPr>
        <w:t>29</w:t>
      </w:r>
      <w:bookmarkStart w:id="0" w:name="_GoBack"/>
      <w:bookmarkEnd w:id="0"/>
      <w:r>
        <w:rPr>
          <w:rFonts w:hint="eastAsia" w:ascii="仿宋_GB2312" w:eastAsia="仿宋_GB2312" w:cs="仿宋_GB2312"/>
          <w:color w:val="000000"/>
          <w:spacing w:val="0"/>
          <w:kern w:val="0"/>
          <w:sz w:val="32"/>
          <w:szCs w:val="32"/>
          <w:shd w:val="clear" w:color="auto" w:fill="FFFFFF"/>
        </w:rPr>
        <w:t>日</w:t>
      </w:r>
    </w:p>
    <w:sectPr>
      <w:footerReference r:id="rId3" w:type="default"/>
      <w:pgSz w:w="11906" w:h="16838"/>
      <w:pgMar w:top="1984" w:right="1474" w:bottom="1871" w:left="1587" w:header="851" w:footer="992"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444499" cy="230251"/>
                      </a:xfrm>
                      <a:prstGeom prst="rect">
                        <a:avLst/>
                      </a:prstGeom>
                      <a:noFill/>
                      <a:ln w="9525" cap="flat" cmpd="sng">
                        <a:noFill/>
                        <a:prstDash val="solid"/>
                        <a:round/>
                      </a:ln>
                    </wps:spPr>
                    <wps:txbx>
                      <w:txbxContent>
                        <w:p>
                          <w:pPr>
                            <w:pStyle w:val="11"/>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- 7 -</w:t>
                          </w:r>
                          <w:r>
                            <w:rPr>
                              <w:rFonts w:hint="eastAsia" w:ascii="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2PAcLRAAAAAwEAAA8AAAAAAAAAAQAgAAAAIgAAAGRycy9kb3ducmV2&#10;LnhtbFBLAQIUABQAAAAIAIdO4kAGUcGJAwIAAPQDAAAOAAAAAAAAAAEAIAAAACABAABkcnMvZTJv&#10;RG9jLnhtbFBLBQYAAAAABgAGAFkBAACVBQAAAAA=&#10;">
              <v:fill on="f" focussize="0,0"/>
              <v:stroke on="f" joinstyle="round"/>
              <v:imagedata o:title=""/>
              <o:lock v:ext="edit" aspectratio="f"/>
              <v:textbox inset="0mm,0mm,0mm,0mm" style="mso-fit-shape-to-text:t;">
                <w:txbxContent>
                  <w:p>
                    <w:pPr>
                      <w:pStyle w:val="11"/>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- 7 -</w:t>
                    </w:r>
                    <w:r>
                      <w:rPr>
                        <w:rFonts w:hint="eastAsia" w:ascii="宋体" w:cs="宋体"/>
                        <w:sz w:val="28"/>
                        <w:szCs w:val="28"/>
                      </w:rPr>
                      <w:fldChar w:fldCharType="end"/>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9525" cy="139700"/>
              <wp:effectExtent l="0" t="0" r="0" b="0"/>
              <wp:wrapNone/>
              <wp:docPr id="4" name="文本框 2"/>
              <wp:cNvGraphicFramePr/>
              <a:graphic xmlns:a="http://schemas.openxmlformats.org/drawingml/2006/main">
                <a:graphicData uri="http://schemas.microsoft.com/office/word/2010/wordprocessingShape">
                  <wps:wsp>
                    <wps:cNvSpPr/>
                    <wps:spPr>
                      <a:xfrm>
                        <a:off x="0" y="0"/>
                        <a:ext cx="9524" cy="139560"/>
                      </a:xfrm>
                      <a:prstGeom prst="rect">
                        <a:avLst/>
                      </a:prstGeom>
                      <a:noFill/>
                      <a:ln w="9525" cap="flat" cmpd="sng">
                        <a:noFill/>
                        <a:prstDash val="solid"/>
                        <a:round/>
                      </a:ln>
                    </wps:spPr>
                    <wps:txbx>
                      <w:txbxContent>
                        <w:p>
                          <w:pPr>
                            <w:pStyle w:val="11"/>
                          </w:pP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1pt;width:0.75pt;mso-position-horizontal:outside;mso-position-horizontal-relative:margin;mso-wrap-style:none;z-index:251659264;mso-width-relative:page;mso-height-relative:page;" filled="f" stroked="f" coordsize="21600,21600" o:gfxdata="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ghutAAAAACAQAADwAAAAAAAAABACAAAAAiAAAAZHJzL2Rvd25yZXYueG1s&#10;UEsBAhQAFAAAAAgAh07iQAekq2oAAgAA8gMAAA4AAAAAAAAAAQAgAAAAHwEAAGRycy9lMm9Eb2Mu&#10;eG1sUEsFBgAAAAAGAAYAWQEAAJEFAAAAAA==&#10;">
              <v:fill on="f" focussize="0,0"/>
              <v:stroke on="f" joinstyle="round"/>
              <v:imagedata o:title=""/>
              <o:lock v:ext="edit" aspectratio="f"/>
              <v:textbox inset="0mm,0mm,0mm,0mm" style="mso-fit-shape-to-text:t;">
                <w:txbxContent>
                  <w:p>
                    <w:pPr>
                      <w:pStyle w:val="11"/>
                    </w:pP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315A6C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6">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7">
    <w:name w:val="heading 3"/>
    <w:basedOn w:val="1"/>
    <w:next w:val="1"/>
    <w:uiPriority w:val="0"/>
    <w:pPr>
      <w:keepNext/>
      <w:keepLines/>
      <w:widowControl w:val="0"/>
      <w:spacing w:before="260" w:after="260" w:line="415" w:lineRule="auto"/>
      <w:outlineLvl w:val="2"/>
    </w:pPr>
    <w:rPr>
      <w:b/>
      <w:bCs/>
      <w:sz w:val="32"/>
      <w:szCs w:val="32"/>
    </w:rPr>
  </w:style>
  <w:style w:type="character" w:default="1" w:styleId="14">
    <w:name w:val="Default Paragraph Font"/>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First Indent"/>
    <w:basedOn w:val="3"/>
    <w:uiPriority w:val="0"/>
    <w:pPr>
      <w:spacing w:after="120"/>
      <w:ind w:firstLine="100" w:firstLineChars="100"/>
    </w:pPr>
    <w:rPr>
      <w:sz w:val="21"/>
      <w:szCs w:val="24"/>
    </w:rPr>
  </w:style>
  <w:style w:type="paragraph" w:styleId="3">
    <w:name w:val="Body Text"/>
    <w:basedOn w:val="1"/>
    <w:next w:val="4"/>
    <w:uiPriority w:val="0"/>
    <w:rPr>
      <w:sz w:val="18"/>
      <w:szCs w:val="28"/>
    </w:rPr>
  </w:style>
  <w:style w:type="paragraph" w:customStyle="1" w:styleId="4">
    <w:name w:val="默认段落"/>
    <w:basedOn w:val="1"/>
    <w:uiPriority w:val="0"/>
    <w:pPr>
      <w:topLinePunct w:val="0"/>
    </w:pPr>
  </w:style>
  <w:style w:type="paragraph" w:styleId="8">
    <w:name w:val="Normal Indent"/>
    <w:basedOn w:val="1"/>
    <w:next w:val="9"/>
    <w:uiPriority w:val="0"/>
    <w:pPr>
      <w:ind w:firstLine="420"/>
    </w:pPr>
  </w:style>
  <w:style w:type="paragraph" w:styleId="9">
    <w:name w:val="toc 1"/>
    <w:basedOn w:val="1"/>
    <w:next w:val="1"/>
    <w:uiPriority w:val="0"/>
  </w:style>
  <w:style w:type="paragraph" w:styleId="10">
    <w:name w:val="Plain Text"/>
    <w:basedOn w:val="1"/>
    <w:uiPriority w:val="0"/>
    <w:rPr>
      <w:rFonts w:ascii="宋体" w:cs="Courier New"/>
      <w:szCs w:val="21"/>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5">
    <w:name w:val="Strong"/>
    <w:basedOn w:val="14"/>
    <w:uiPriority w:val="0"/>
    <w:rPr>
      <w:b/>
    </w:rPr>
  </w:style>
  <w:style w:type="character" w:customStyle="1" w:styleId="16">
    <w:name w:val="qowt-font4-gb2312"/>
    <w:basedOn w:val="1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Pages>
  <Words>2983</Words>
  <Characters>3288</Characters>
  <Lines>128</Lines>
  <Paragraphs>23</Paragraphs>
  <TotalTime>997</TotalTime>
  <ScaleCrop>false</ScaleCrop>
  <LinksUpToDate>false</LinksUpToDate>
  <CharactersWithSpaces>3297</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2020-12-16T06:31:00Z</dcterms:created>
  <dc:creator>雯</dc:creator>
  <cp:lastModifiedBy>亢东亮</cp:lastModifiedBy>
  <cp:lastPrinted>2021-03-22T09:10:00Z</cp:lastPrinted>
  <dcterms:modified xsi:type="dcterms:W3CDTF">2022-03-28T12:41:29Z</dcterms:modified>
  <cp:revision>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AC57DD210C57429B8AB02D601FBC16AB</vt:lpwstr>
  </property>
</Properties>
</file>