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right"/>
        <w:rPr>
          <w:rFonts w:ascii="仿宋" w:hAnsi="仿宋" w:eastAsia="仿宋" w:cs="Times New Roman"/>
          <w:b/>
          <w:bCs/>
          <w:kern w:val="0"/>
          <w:sz w:val="44"/>
          <w:szCs w:val="44"/>
        </w:rPr>
      </w:pPr>
    </w:p>
    <w:p>
      <w:pPr>
        <w:spacing w:beforeLines="50" w:afterLines="50" w:line="560" w:lineRule="exact"/>
        <w:jc w:val="right"/>
        <w:rPr>
          <w:rFonts w:ascii="仿宋" w:hAnsi="仿宋" w:eastAsia="仿宋" w:cs="仿宋_GB2312"/>
          <w:sz w:val="32"/>
          <w:szCs w:val="32"/>
        </w:rPr>
      </w:pPr>
      <w:r>
        <w:rPr>
          <w:rFonts w:hint="eastAsia" w:ascii="仿宋" w:hAnsi="仿宋" w:eastAsia="仿宋" w:cs="仿宋_GB2312"/>
          <w:sz w:val="32"/>
          <w:szCs w:val="32"/>
        </w:rPr>
        <w:t>秦审批环准许</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02-0008</w:t>
      </w:r>
      <w:r>
        <w:rPr>
          <w:rFonts w:hint="eastAsia" w:ascii="仿宋" w:hAnsi="仿宋" w:eastAsia="仿宋" w:cs="仿宋_GB2312"/>
          <w:sz w:val="32"/>
          <w:szCs w:val="32"/>
        </w:rPr>
        <w:t>号</w:t>
      </w:r>
    </w:p>
    <w:p>
      <w:pPr>
        <w:spacing w:beforeLines="50" w:afterLines="50" w:line="560" w:lineRule="exact"/>
        <w:jc w:val="center"/>
        <w:rPr>
          <w:rFonts w:hint="eastAsia" w:ascii="方正小标宋_GBK" w:hAnsi="方正小标宋_GBK" w:eastAsia="方正小标宋_GBK" w:cs="方正小标宋_GBK"/>
          <w:b w:val="0"/>
          <w:bCs/>
          <w:kern w:val="44"/>
          <w:sz w:val="44"/>
          <w:szCs w:val="44"/>
        </w:rPr>
      </w:pPr>
      <w:r>
        <w:rPr>
          <w:rFonts w:hint="eastAsia" w:ascii="方正小标宋_GBK" w:hAnsi="方正小标宋_GBK" w:eastAsia="方正小标宋_GBK" w:cs="方正小标宋_GBK"/>
          <w:b w:val="0"/>
          <w:bCs/>
          <w:kern w:val="44"/>
          <w:sz w:val="44"/>
          <w:szCs w:val="44"/>
        </w:rPr>
        <w:t>关于25MW利用高炉煤气发电工程二期项目环境影响报告表的批复</w:t>
      </w:r>
    </w:p>
    <w:p>
      <w:pPr>
        <w:spacing w:line="560" w:lineRule="exact"/>
        <w:rPr>
          <w:rFonts w:ascii="仿宋" w:hAnsi="仿宋" w:eastAsia="仿宋" w:cs="Times New Roman"/>
          <w:sz w:val="32"/>
          <w:szCs w:val="32"/>
        </w:rPr>
      </w:pPr>
    </w:p>
    <w:p>
      <w:pPr>
        <w:spacing w:line="560" w:lineRule="exact"/>
        <w:rPr>
          <w:rFonts w:ascii="仿宋" w:hAnsi="仿宋" w:eastAsia="仿宋" w:cs="Times New Roman"/>
          <w:sz w:val="32"/>
          <w:szCs w:val="32"/>
        </w:rPr>
      </w:pPr>
      <w:r>
        <w:rPr>
          <w:rFonts w:ascii="仿宋" w:hAnsi="仿宋" w:eastAsia="仿宋" w:cs="Times New Roman"/>
          <w:sz w:val="32"/>
          <w:szCs w:val="32"/>
        </w:rPr>
        <w:t>青龙满族自治县德龙铸业开发有限公司</w:t>
      </w:r>
      <w:r>
        <w:rPr>
          <w:rFonts w:hint="eastAsia" w:ascii="仿宋" w:hAnsi="仿宋" w:eastAsia="仿宋" w:cs="Times New Roman"/>
          <w:sz w:val="32"/>
          <w:szCs w:val="32"/>
        </w:rPr>
        <w:t>：</w:t>
      </w:r>
    </w:p>
    <w:p>
      <w:pPr>
        <w:widowControl/>
        <w:adjustRightInd w:val="0"/>
        <w:snapToGrid w:val="0"/>
        <w:spacing w:line="560" w:lineRule="exact"/>
        <w:ind w:firstLine="640"/>
        <w:rPr>
          <w:rFonts w:ascii="仿宋" w:hAnsi="仿宋" w:eastAsia="仿宋" w:cs="仿宋_GB2312"/>
          <w:b/>
          <w:bCs/>
          <w:color w:val="000000"/>
          <w:kern w:val="0"/>
          <w:sz w:val="32"/>
          <w:szCs w:val="32"/>
        </w:rPr>
      </w:pPr>
      <w:r>
        <w:rPr>
          <w:rFonts w:hint="eastAsia" w:ascii="仿宋" w:hAnsi="仿宋" w:eastAsia="仿宋" w:cs="仿宋_GB2312"/>
          <w:color w:val="000000"/>
          <w:kern w:val="0"/>
          <w:sz w:val="32"/>
          <w:szCs w:val="32"/>
        </w:rPr>
        <w:t>所</w:t>
      </w:r>
      <w:r>
        <w:rPr>
          <w:rFonts w:hint="eastAsia" w:ascii="仿宋" w:hAnsi="仿宋" w:eastAsia="仿宋" w:cs="Times New Roman"/>
          <w:sz w:val="32"/>
          <w:szCs w:val="32"/>
        </w:rPr>
        <w:t>报《</w:t>
      </w:r>
      <w:r>
        <w:rPr>
          <w:rFonts w:ascii="仿宋" w:hAnsi="仿宋" w:eastAsia="仿宋" w:cs="Times New Roman"/>
          <w:sz w:val="32"/>
          <w:szCs w:val="32"/>
        </w:rPr>
        <w:t>25MW利用高炉煤气发电工程二期项目</w:t>
      </w:r>
      <w:r>
        <w:rPr>
          <w:rFonts w:hint="eastAsia" w:ascii="仿宋" w:hAnsi="仿宋" w:eastAsia="仿宋" w:cs="Times New Roman"/>
          <w:sz w:val="32"/>
          <w:szCs w:val="32"/>
        </w:rPr>
        <w:t>环境影响报告表》（以下简称《报告表》）</w:t>
      </w:r>
      <w:r>
        <w:rPr>
          <w:rFonts w:ascii="仿宋" w:hAnsi="仿宋" w:eastAsia="仿宋" w:cs="Times New Roman"/>
          <w:color w:val="000000"/>
          <w:sz w:val="32"/>
          <w:szCs w:val="32"/>
          <w:shd w:val="clear" w:color="auto" w:fill="FFFFFF"/>
        </w:rPr>
        <w:t>审批申请</w:t>
      </w:r>
      <w:r>
        <w:rPr>
          <w:rFonts w:hint="eastAsia" w:ascii="仿宋" w:hAnsi="仿宋" w:eastAsia="仿宋" w:cs="Times New Roman"/>
          <w:sz w:val="32"/>
          <w:szCs w:val="32"/>
        </w:rPr>
        <w:t>及相关材料</w:t>
      </w:r>
      <w:r>
        <w:rPr>
          <w:rFonts w:hint="eastAsia" w:ascii="仿宋" w:hAnsi="仿宋" w:eastAsia="仿宋" w:cs="仿宋_GB2312"/>
          <w:color w:val="000000"/>
          <w:kern w:val="0"/>
          <w:sz w:val="32"/>
          <w:szCs w:val="32"/>
        </w:rPr>
        <w:t xml:space="preserve">收悉。结合环境影响报告表结论、专家意见、项目环境影响特点及公示反馈等方面情况，经研究，现批复如下： </w:t>
      </w:r>
    </w:p>
    <w:p>
      <w:pPr>
        <w:numPr>
          <w:ilvl w:val="0"/>
          <w:numId w:val="1"/>
        </w:numPr>
        <w:adjustRightInd w:val="0"/>
        <w:snapToGrid w:val="0"/>
        <w:spacing w:line="56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项目建设内容和总体要求</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该项目位于</w:t>
      </w:r>
      <w:r>
        <w:rPr>
          <w:rFonts w:hint="eastAsia" w:ascii="仿宋" w:hAnsi="仿宋" w:eastAsia="仿宋" w:cs="仿宋_GB2312"/>
          <w:color w:val="000000"/>
          <w:kern w:val="0"/>
          <w:sz w:val="32"/>
          <w:szCs w:val="32"/>
        </w:rPr>
        <w:t>河北省秦皇岛市青龙满族自治县大巫岚镇东赶河子村青龙满族自治县德龙铸业开发有限公司现有厂区内，项目主要建设内容：生产及辅助生产设施由</w:t>
      </w:r>
      <w:r>
        <w:rPr>
          <w:rFonts w:ascii="仿宋" w:hAnsi="仿宋" w:eastAsia="仿宋" w:cs="Times New Roman"/>
          <w:sz w:val="32"/>
          <w:szCs w:val="32"/>
        </w:rPr>
        <w:t>主厂房（包括汽机间、除氧跨、露天锅炉）、鼓、引风机、烟道、烟囱、化水间、循环水泵站及冷却塔等组成，</w:t>
      </w:r>
      <w:r>
        <w:rPr>
          <w:rFonts w:hint="eastAsia" w:ascii="仿宋" w:hAnsi="仿宋" w:eastAsia="仿宋" w:cs="Times New Roman"/>
          <w:color w:val="auto"/>
          <w:sz w:val="32"/>
          <w:szCs w:val="32"/>
        </w:rPr>
        <w:t>选用1台110t/h次高压锅炉、1台N25-4.90型凝汽式汽轮发电机组，</w:t>
      </w:r>
      <w:r>
        <w:rPr>
          <w:rFonts w:ascii="仿宋" w:hAnsi="仿宋" w:eastAsia="仿宋" w:cs="Times New Roman"/>
          <w:sz w:val="32"/>
          <w:szCs w:val="32"/>
        </w:rPr>
        <w:t>燃料为炼铁工序副产品高炉煤气，本工程发电机装机容量25MW，发电容量最大30MW，发电接入现有220kV总降压变电站，扣除厂用电约2MW，剩余发电容量全部供本公司自用。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项目总投资：11096万元，环保投资：150万元，环保投资比例：1.35%。</w:t>
      </w:r>
    </w:p>
    <w:p>
      <w:pPr>
        <w:adjustRightInd w:val="0"/>
        <w:snapToGrid w:val="0"/>
        <w:spacing w:line="560" w:lineRule="exact"/>
        <w:ind w:firstLine="579" w:firstLineChars="181"/>
        <w:rPr>
          <w:rFonts w:ascii="仿宋" w:hAnsi="仿宋" w:eastAsia="仿宋" w:cs="仿宋_GB2312"/>
          <w:color w:val="FF0000"/>
          <w:kern w:val="0"/>
          <w:sz w:val="32"/>
          <w:szCs w:val="32"/>
        </w:rPr>
      </w:pPr>
      <w:r>
        <w:rPr>
          <w:rFonts w:hint="eastAsia" w:ascii="仿宋" w:hAnsi="仿宋" w:eastAsia="仿宋" w:cs="仿宋_GB2312"/>
          <w:kern w:val="0"/>
          <w:sz w:val="32"/>
          <w:szCs w:val="32"/>
        </w:rPr>
        <w:t>项目不属于《产业结构调整指导目录》（2019年本）限制、淘汰类；</w:t>
      </w:r>
      <w:r>
        <w:rPr>
          <w:rFonts w:hint="eastAsia" w:ascii="仿宋" w:hAnsi="仿宋" w:eastAsia="仿宋" w:cs="Times New Roman"/>
          <w:sz w:val="32"/>
          <w:szCs w:val="32"/>
        </w:rPr>
        <w:t>不属于《河北省新增限制和淘汰类产业目录》(2015年版)、</w:t>
      </w:r>
      <w:r>
        <w:rPr>
          <w:rFonts w:hint="eastAsia" w:ascii="仿宋" w:hAnsi="仿宋" w:eastAsia="仿宋" w:cs="仿宋_GB2312"/>
          <w:kern w:val="0"/>
          <w:sz w:val="32"/>
          <w:szCs w:val="32"/>
        </w:rPr>
        <w:t>《秦皇岛市限制和禁止投资的产业目录》（2020年修订版）限制和禁止类；该项目已通过</w:t>
      </w:r>
      <w:r>
        <w:rPr>
          <w:rFonts w:ascii="仿宋" w:hAnsi="仿宋" w:eastAsia="仿宋" w:cs="仿宋_GB2312"/>
          <w:kern w:val="0"/>
          <w:sz w:val="32"/>
          <w:szCs w:val="32"/>
        </w:rPr>
        <w:t>青龙满族自治县行政审批局核准</w:t>
      </w:r>
      <w:r>
        <w:rPr>
          <w:rFonts w:hint="eastAsia" w:ascii="仿宋" w:hAnsi="仿宋" w:eastAsia="仿宋" w:cs="仿宋_GB2312"/>
          <w:kern w:val="0"/>
          <w:sz w:val="32"/>
          <w:szCs w:val="32"/>
        </w:rPr>
        <w:t>（备案编号：</w:t>
      </w:r>
      <w:r>
        <w:rPr>
          <w:rFonts w:ascii="仿宋" w:hAnsi="仿宋" w:eastAsia="仿宋" w:cs="仿宋_GB2312"/>
          <w:kern w:val="0"/>
          <w:sz w:val="32"/>
          <w:szCs w:val="32"/>
        </w:rPr>
        <w:t>青审批投资核</w:t>
      </w:r>
      <w:r>
        <w:rPr>
          <w:rFonts w:hint="eastAsia" w:ascii="仿宋" w:hAnsi="仿宋" w:eastAsia="仿宋" w:cs="仿宋_GB2312"/>
          <w:kern w:val="0"/>
          <w:sz w:val="32"/>
          <w:szCs w:val="32"/>
        </w:rPr>
        <w:t>〔202</w:t>
      </w:r>
      <w:r>
        <w:rPr>
          <w:rFonts w:ascii="仿宋" w:hAnsi="仿宋" w:eastAsia="仿宋" w:cs="仿宋_GB2312"/>
          <w:kern w:val="0"/>
          <w:sz w:val="32"/>
          <w:szCs w:val="32"/>
        </w:rPr>
        <w:t>1</w:t>
      </w:r>
      <w:r>
        <w:rPr>
          <w:rFonts w:hint="eastAsia" w:ascii="仿宋" w:hAnsi="仿宋" w:eastAsia="仿宋" w:cs="仿宋_GB2312"/>
          <w:kern w:val="0"/>
          <w:sz w:val="32"/>
          <w:szCs w:val="32"/>
        </w:rPr>
        <w:t>〕</w:t>
      </w:r>
      <w:r>
        <w:rPr>
          <w:rFonts w:ascii="仿宋" w:hAnsi="仿宋" w:eastAsia="仿宋" w:cs="仿宋_GB2312"/>
          <w:kern w:val="0"/>
          <w:sz w:val="32"/>
          <w:szCs w:val="32"/>
        </w:rPr>
        <w:t>10</w:t>
      </w:r>
      <w:r>
        <w:rPr>
          <w:rFonts w:hint="eastAsia" w:ascii="仿宋" w:hAnsi="仿宋" w:eastAsia="仿宋" w:cs="仿宋_GB2312"/>
          <w:kern w:val="0"/>
          <w:sz w:val="32"/>
          <w:szCs w:val="32"/>
        </w:rPr>
        <w:t>号），项目建设符合国家及地方有关的产业政策。本项目已取得了</w:t>
      </w:r>
      <w:r>
        <w:rPr>
          <w:rFonts w:ascii="仿宋" w:hAnsi="仿宋" w:eastAsia="仿宋" w:cs="仿宋_GB2312"/>
          <w:kern w:val="0"/>
          <w:sz w:val="32"/>
          <w:szCs w:val="32"/>
        </w:rPr>
        <w:t>青龙满族自治县人民政府</w:t>
      </w:r>
      <w:r>
        <w:rPr>
          <w:rFonts w:hint="eastAsia" w:ascii="仿宋" w:hAnsi="仿宋" w:eastAsia="仿宋" w:cs="仿宋_GB2312"/>
          <w:kern w:val="0"/>
          <w:sz w:val="32"/>
          <w:szCs w:val="32"/>
        </w:rPr>
        <w:t>出具的《</w:t>
      </w:r>
      <w:r>
        <w:rPr>
          <w:rFonts w:ascii="仿宋" w:hAnsi="仿宋" w:eastAsia="仿宋" w:cs="仿宋_GB2312"/>
          <w:kern w:val="0"/>
          <w:sz w:val="32"/>
          <w:szCs w:val="32"/>
        </w:rPr>
        <w:t>国有土地使用证</w:t>
      </w:r>
      <w:r>
        <w:rPr>
          <w:rFonts w:hint="eastAsia" w:ascii="仿宋" w:hAnsi="仿宋" w:eastAsia="仿宋" w:cs="仿宋_GB2312"/>
          <w:kern w:val="0"/>
          <w:sz w:val="32"/>
          <w:szCs w:val="32"/>
        </w:rPr>
        <w:t>》</w:t>
      </w:r>
      <w:r>
        <w:rPr>
          <w:rFonts w:ascii="仿宋" w:hAnsi="仿宋" w:eastAsia="仿宋" w:cs="仿宋_GB2312"/>
          <w:kern w:val="0"/>
          <w:sz w:val="32"/>
          <w:szCs w:val="32"/>
        </w:rPr>
        <w:t>（青国用（2010）第350号）</w:t>
      </w:r>
      <w:r>
        <w:rPr>
          <w:rFonts w:hint="eastAsia" w:ascii="仿宋" w:hAnsi="仿宋" w:eastAsia="仿宋" w:cs="仿宋_GB2312"/>
          <w:kern w:val="0"/>
          <w:sz w:val="32"/>
          <w:szCs w:val="32"/>
        </w:rPr>
        <w:t>。项目建设符合“三线一单”要求。</w:t>
      </w:r>
    </w:p>
    <w:p>
      <w:pPr>
        <w:spacing w:line="560" w:lineRule="exact"/>
        <w:ind w:firstLine="64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该《报告表》已通过专家审查，结合各方面专家意见及本项目公众参与调查情况及其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snapToGrid w:val="0"/>
        <w:spacing w:line="560" w:lineRule="exact"/>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    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w:t>
      </w:r>
      <w:r>
        <w:rPr>
          <w:rFonts w:hint="eastAsia" w:ascii="仿宋" w:hAnsi="仿宋" w:eastAsia="仿宋" w:cs="仿宋_GB2312"/>
          <w:spacing w:val="-6"/>
          <w:sz w:val="32"/>
          <w:szCs w:val="32"/>
        </w:rPr>
        <w:t>认真落实各项污染防治措施，加强环保设施运营管理，确保满足相关要求，</w:t>
      </w:r>
      <w:r>
        <w:rPr>
          <w:rFonts w:hint="eastAsia" w:ascii="仿宋" w:hAnsi="仿宋" w:eastAsia="仿宋" w:cs="仿宋_GB2312"/>
          <w:color w:val="000000"/>
          <w:kern w:val="0"/>
          <w:sz w:val="32"/>
          <w:szCs w:val="32"/>
        </w:rPr>
        <w:t>并重点做好以下工作：</w:t>
      </w:r>
    </w:p>
    <w:p>
      <w:pPr>
        <w:numPr>
          <w:ilvl w:val="0"/>
          <w:numId w:val="2"/>
        </w:numPr>
        <w:adjustRightInd w:val="0"/>
        <w:snapToGrid w:val="0"/>
        <w:spacing w:line="560" w:lineRule="exact"/>
        <w:ind w:firstLine="616" w:firstLineChars="200"/>
        <w:rPr>
          <w:rFonts w:ascii="仿宋" w:hAnsi="仿宋" w:eastAsia="仿宋" w:cs="仿宋_GB2312"/>
          <w:color w:val="000000"/>
          <w:spacing w:val="-6"/>
          <w:sz w:val="32"/>
          <w:szCs w:val="32"/>
        </w:rPr>
      </w:pPr>
      <w:r>
        <w:rPr>
          <w:rFonts w:hint="eastAsia" w:ascii="仿宋" w:hAnsi="仿宋" w:eastAsia="仿宋" w:cs="仿宋_GB2312"/>
          <w:color w:val="000000"/>
          <w:spacing w:val="-6"/>
          <w:sz w:val="32"/>
          <w:szCs w:val="32"/>
        </w:rPr>
        <w:t>加强施工期环境管理，减少施工对环境的影响</w:t>
      </w:r>
    </w:p>
    <w:p>
      <w:pPr>
        <w:spacing w:line="560" w:lineRule="exact"/>
        <w:ind w:firstLine="616" w:firstLineChars="200"/>
        <w:rPr>
          <w:rFonts w:ascii="仿宋" w:hAnsi="仿宋" w:eastAsia="仿宋" w:cs="仿宋_GB2312"/>
          <w:color w:val="000000"/>
          <w:spacing w:val="-6"/>
          <w:sz w:val="32"/>
          <w:szCs w:val="32"/>
        </w:rPr>
      </w:pPr>
      <w:r>
        <w:rPr>
          <w:rFonts w:hint="eastAsia" w:ascii="仿宋" w:hAnsi="仿宋" w:eastAsia="仿宋" w:cs="仿宋_GB2312"/>
          <w:color w:val="000000"/>
          <w:spacing w:val="-6"/>
          <w:sz w:val="32"/>
          <w:szCs w:val="32"/>
        </w:rPr>
        <w:t>1、项目施工的主要内容包括场地平整、建筑基础施工、建筑主体施工、其他建筑施工和设备安装等。建设及施工单位要严格执行《中共秦皇岛市委秦皇岛市人民政府关于强力推进大气污染综合治理的实施意见》、《秦皇岛市扬尘综合整治专项实施方案》和《河北省扬尘污染防治办法》中有关施工扬尘的管理规定，同时结合《防治城市扬尘污染技术规范》(HJ/T393-2007)及同类施工场地采取的抑尘措施，落实各项控制扬尘污染措施，施工场地扬尘排放执行河北省地方标准《施工场地扬尘排放标准》（DB13/2934-2019）的要求。项目</w:t>
      </w:r>
      <w:r>
        <w:rPr>
          <w:rFonts w:ascii="仿宋" w:hAnsi="仿宋" w:eastAsia="仿宋" w:cs="仿宋_GB2312"/>
          <w:color w:val="000000"/>
          <w:spacing w:val="-6"/>
          <w:sz w:val="32"/>
          <w:szCs w:val="32"/>
        </w:rPr>
        <w:t>施工期产生的冲洗</w:t>
      </w:r>
      <w:r>
        <w:rPr>
          <w:rFonts w:hint="eastAsia" w:ascii="仿宋" w:hAnsi="仿宋" w:eastAsia="仿宋" w:cs="仿宋_GB2312"/>
          <w:color w:val="000000"/>
          <w:spacing w:val="-6"/>
          <w:sz w:val="32"/>
          <w:szCs w:val="32"/>
        </w:rPr>
        <w:t>废水经沉淀后循环</w:t>
      </w:r>
      <w:r>
        <w:rPr>
          <w:rFonts w:ascii="仿宋" w:hAnsi="仿宋" w:eastAsia="仿宋" w:cs="仿宋_GB2312"/>
          <w:color w:val="000000"/>
          <w:spacing w:val="-6"/>
          <w:sz w:val="32"/>
          <w:szCs w:val="32"/>
        </w:rPr>
        <w:t>使</w:t>
      </w:r>
      <w:r>
        <w:rPr>
          <w:rFonts w:hint="eastAsia" w:ascii="仿宋" w:hAnsi="仿宋" w:eastAsia="仿宋" w:cs="仿宋_GB2312"/>
          <w:color w:val="000000"/>
          <w:spacing w:val="-6"/>
          <w:sz w:val="32"/>
          <w:szCs w:val="32"/>
        </w:rPr>
        <w:t>用；</w:t>
      </w:r>
      <w:r>
        <w:rPr>
          <w:rFonts w:ascii="仿宋" w:hAnsi="仿宋" w:eastAsia="仿宋" w:cs="仿宋_GB2312"/>
          <w:color w:val="000000"/>
          <w:spacing w:val="-6"/>
          <w:sz w:val="32"/>
          <w:szCs w:val="32"/>
        </w:rPr>
        <w:t>施工期</w:t>
      </w:r>
      <w:r>
        <w:rPr>
          <w:rFonts w:hint="eastAsia" w:ascii="仿宋" w:hAnsi="仿宋" w:eastAsia="仿宋" w:cs="仿宋_GB2312"/>
          <w:color w:val="000000"/>
          <w:spacing w:val="-6"/>
          <w:sz w:val="32"/>
          <w:szCs w:val="32"/>
        </w:rPr>
        <w:t>生活污水</w:t>
      </w:r>
      <w:r>
        <w:rPr>
          <w:rFonts w:ascii="仿宋" w:hAnsi="仿宋" w:eastAsia="仿宋" w:cs="仿宋_GB2312"/>
          <w:color w:val="000000"/>
          <w:spacing w:val="-6"/>
          <w:sz w:val="32"/>
          <w:szCs w:val="32"/>
        </w:rPr>
        <w:t>依托</w:t>
      </w:r>
      <w:r>
        <w:rPr>
          <w:rFonts w:hint="eastAsia" w:ascii="仿宋" w:hAnsi="仿宋" w:eastAsia="仿宋" w:cs="仿宋_GB2312"/>
          <w:color w:val="000000"/>
          <w:spacing w:val="-6"/>
          <w:sz w:val="32"/>
          <w:szCs w:val="32"/>
        </w:rPr>
        <w:t>现有</w:t>
      </w:r>
      <w:r>
        <w:rPr>
          <w:rFonts w:ascii="仿宋" w:hAnsi="仿宋" w:eastAsia="仿宋" w:cs="仿宋_GB2312"/>
          <w:color w:val="000000"/>
          <w:spacing w:val="-6"/>
          <w:sz w:val="32"/>
          <w:szCs w:val="32"/>
        </w:rPr>
        <w:t>设施，</w:t>
      </w:r>
      <w:r>
        <w:rPr>
          <w:rFonts w:hint="eastAsia" w:ascii="仿宋" w:hAnsi="仿宋" w:eastAsia="仿宋" w:cs="仿宋_GB2312"/>
          <w:color w:val="000000"/>
          <w:spacing w:val="-6"/>
          <w:sz w:val="32"/>
          <w:szCs w:val="32"/>
        </w:rPr>
        <w:t>经化粪池处理后进入厂区综合污水处理站处理后全部回用于高炉冲渣系统补充水。采用低噪声施工机械，避免高噪声机械同时作业，合理安排施工时间及进度，禁止夜间施工，确需夜间施工的，提前到相关部门登记并告知周边村民，施工阶段作业噪声要满足《建筑施工场界环境噪声排放标准》(GB12523-2011)中限值要求；施工期产生的生活垃圾由环卫部门统一收集处置，建筑垃圾和弃土须依法依规进行处置。</w:t>
      </w:r>
    </w:p>
    <w:p>
      <w:pPr>
        <w:spacing w:line="560" w:lineRule="exact"/>
        <w:ind w:firstLine="616" w:firstLineChars="200"/>
        <w:rPr>
          <w:rFonts w:ascii="仿宋" w:hAnsi="仿宋" w:eastAsia="仿宋" w:cs="仿宋_GB2312"/>
          <w:spacing w:val="-6"/>
          <w:sz w:val="32"/>
          <w:szCs w:val="32"/>
        </w:rPr>
      </w:pPr>
      <w:r>
        <w:rPr>
          <w:rFonts w:hint="eastAsia" w:ascii="仿宋" w:hAnsi="仿宋" w:eastAsia="仿宋" w:cs="仿宋_GB2312"/>
          <w:spacing w:val="-6"/>
          <w:sz w:val="32"/>
          <w:szCs w:val="32"/>
        </w:rPr>
        <w:t>2、加强防腐防渗措施。按《报告表》要求进行相应的防腐防渗施工。</w:t>
      </w:r>
    </w:p>
    <w:p>
      <w:pPr>
        <w:widowControl/>
        <w:adjustRightInd w:val="0"/>
        <w:snapToGrid w:val="0"/>
        <w:spacing w:line="560" w:lineRule="exact"/>
        <w:ind w:firstLine="616" w:firstLineChars="200"/>
        <w:rPr>
          <w:rFonts w:ascii="仿宋" w:hAnsi="仿宋" w:eastAsia="仿宋" w:cs="仿宋_GB2312"/>
          <w:spacing w:val="-6"/>
          <w:sz w:val="32"/>
          <w:szCs w:val="32"/>
        </w:rPr>
      </w:pPr>
      <w:r>
        <w:rPr>
          <w:rFonts w:hint="eastAsia" w:ascii="仿宋" w:hAnsi="仿宋" w:eastAsia="仿宋" w:cs="仿宋_GB2312"/>
          <w:spacing w:val="-6"/>
          <w:sz w:val="32"/>
          <w:szCs w:val="32"/>
        </w:rPr>
        <w:t>（二）加强运营期环保设施管理，认真落实各项污染防治措施，确保满足相关要求。</w:t>
      </w:r>
    </w:p>
    <w:p>
      <w:pPr>
        <w:widowControl/>
        <w:adjustRightInd w:val="0"/>
        <w:snapToGrid w:val="0"/>
        <w:spacing w:line="560" w:lineRule="exact"/>
        <w:ind w:firstLine="616" w:firstLineChars="200"/>
        <w:rPr>
          <w:rFonts w:ascii="仿宋" w:hAnsi="仿宋" w:eastAsia="仿宋" w:cs="仿宋_GB2312"/>
          <w:spacing w:val="-6"/>
          <w:sz w:val="32"/>
          <w:szCs w:val="32"/>
        </w:rPr>
      </w:pPr>
      <w:r>
        <w:rPr>
          <w:rFonts w:hint="eastAsia" w:ascii="仿宋" w:hAnsi="仿宋" w:eastAsia="仿宋" w:cs="仿宋_GB2312"/>
          <w:spacing w:val="-6"/>
          <w:sz w:val="32"/>
          <w:szCs w:val="32"/>
        </w:rPr>
        <w:t>1、严格落实大气污染防治措施</w:t>
      </w:r>
    </w:p>
    <w:p>
      <w:pPr>
        <w:spacing w:line="560" w:lineRule="exact"/>
        <w:ind w:firstLine="592"/>
        <w:rPr>
          <w:rFonts w:ascii="仿宋" w:hAnsi="仿宋" w:eastAsia="仿宋" w:cs="仿宋_GB2312"/>
          <w:spacing w:val="-6"/>
          <w:sz w:val="32"/>
          <w:szCs w:val="32"/>
        </w:rPr>
      </w:pPr>
      <w:r>
        <w:rPr>
          <w:rFonts w:hint="eastAsia" w:ascii="仿宋" w:hAnsi="仿宋" w:eastAsia="仿宋" w:cs="仿宋_GB2312"/>
          <w:spacing w:val="-6"/>
          <w:sz w:val="32"/>
          <w:szCs w:val="32"/>
        </w:rPr>
        <w:t>（1）</w:t>
      </w:r>
      <w:r>
        <w:rPr>
          <w:rFonts w:ascii="仿宋" w:hAnsi="仿宋" w:eastAsia="仿宋" w:cs="仿宋_GB2312"/>
          <w:spacing w:val="-6"/>
          <w:sz w:val="32"/>
          <w:szCs w:val="32"/>
        </w:rPr>
        <w:t>有组织废气</w:t>
      </w:r>
    </w:p>
    <w:p>
      <w:pPr>
        <w:spacing w:line="560" w:lineRule="exact"/>
        <w:ind w:firstLine="592"/>
        <w:rPr>
          <w:rFonts w:ascii="仿宋" w:hAnsi="仿宋" w:eastAsia="仿宋" w:cs="仿宋_GB2312"/>
          <w:spacing w:val="-6"/>
          <w:sz w:val="32"/>
          <w:szCs w:val="32"/>
        </w:rPr>
      </w:pPr>
      <w:r>
        <w:rPr>
          <w:rFonts w:hint="eastAsia" w:ascii="汉仪书宋二S" w:hAnsi="汉仪书宋二S" w:eastAsia="汉仪书宋二S" w:cs="汉仪书宋二S"/>
          <w:spacing w:val="-6"/>
          <w:sz w:val="32"/>
          <w:szCs w:val="32"/>
        </w:rPr>
        <w:t>①</w:t>
      </w:r>
      <w:r>
        <w:rPr>
          <w:rFonts w:ascii="仿宋" w:hAnsi="仿宋" w:eastAsia="仿宋" w:cs="仿宋_GB2312"/>
          <w:spacing w:val="-6"/>
          <w:sz w:val="32"/>
          <w:szCs w:val="32"/>
        </w:rPr>
        <w:t>锅炉废气</w:t>
      </w:r>
    </w:p>
    <w:p>
      <w:pPr>
        <w:adjustRightInd w:val="0"/>
        <w:snapToGrid w:val="0"/>
        <w:spacing w:line="560" w:lineRule="exact"/>
        <w:ind w:firstLine="592"/>
        <w:jc w:val="left"/>
        <w:rPr>
          <w:rFonts w:ascii="仿宋" w:hAnsi="仿宋" w:eastAsia="仿宋" w:cs="仿宋_GB2312"/>
          <w:spacing w:val="-6"/>
          <w:sz w:val="32"/>
          <w:szCs w:val="32"/>
        </w:rPr>
      </w:pPr>
      <w:r>
        <w:rPr>
          <w:rFonts w:hint="eastAsia" w:ascii="仿宋" w:hAnsi="仿宋" w:eastAsia="仿宋" w:cs="仿宋_GB2312"/>
          <w:spacing w:val="-6"/>
          <w:sz w:val="32"/>
          <w:szCs w:val="32"/>
        </w:rPr>
        <w:t>本项目锅炉废气</w:t>
      </w:r>
      <w:r>
        <w:rPr>
          <w:rFonts w:ascii="仿宋" w:hAnsi="仿宋" w:eastAsia="仿宋" w:cs="仿宋_GB2312"/>
          <w:spacing w:val="-6"/>
          <w:sz w:val="32"/>
          <w:szCs w:val="32"/>
        </w:rPr>
        <w:t>与</w:t>
      </w:r>
      <w:r>
        <w:rPr>
          <w:rFonts w:hint="eastAsia" w:ascii="仿宋" w:hAnsi="仿宋" w:eastAsia="仿宋" w:cs="仿宋_GB2312"/>
          <w:spacing w:val="-6"/>
          <w:sz w:val="32"/>
          <w:szCs w:val="32"/>
        </w:rPr>
        <w:t>一期</w:t>
      </w:r>
      <w:r>
        <w:rPr>
          <w:rFonts w:ascii="仿宋" w:hAnsi="仿宋" w:eastAsia="仿宋" w:cs="仿宋_GB2312"/>
          <w:spacing w:val="-6"/>
          <w:sz w:val="32"/>
          <w:szCs w:val="32"/>
        </w:rPr>
        <w:t>发电</w:t>
      </w:r>
      <w:r>
        <w:rPr>
          <w:rFonts w:hint="eastAsia" w:ascii="仿宋" w:hAnsi="仿宋" w:eastAsia="仿宋" w:cs="仿宋_GB2312"/>
          <w:spacing w:val="-6"/>
          <w:sz w:val="32"/>
          <w:szCs w:val="32"/>
        </w:rPr>
        <w:t>工程锅炉废气分别经SNCR脱硝设施</w:t>
      </w:r>
      <w:r>
        <w:rPr>
          <w:rFonts w:hint="default" w:ascii="仿宋" w:hAnsi="仿宋" w:eastAsia="仿宋" w:cs="仿宋_GB2312"/>
          <w:spacing w:val="-6"/>
          <w:sz w:val="32"/>
          <w:szCs w:val="32"/>
        </w:rPr>
        <w:t>处理</w:t>
      </w:r>
      <w:r>
        <w:rPr>
          <w:rFonts w:ascii="仿宋" w:hAnsi="仿宋" w:eastAsia="仿宋" w:cs="仿宋_GB2312"/>
          <w:spacing w:val="-6"/>
          <w:sz w:val="32"/>
          <w:szCs w:val="32"/>
        </w:rPr>
        <w:t>后，</w:t>
      </w:r>
      <w:r>
        <w:rPr>
          <w:rFonts w:hint="eastAsia" w:ascii="仿宋" w:hAnsi="仿宋" w:eastAsia="仿宋" w:cs="仿宋_GB2312"/>
          <w:spacing w:val="-6"/>
          <w:sz w:val="32"/>
          <w:szCs w:val="32"/>
        </w:rPr>
        <w:t>统一进入1套ACA干法脱硫系统，</w:t>
      </w:r>
      <w:r>
        <w:rPr>
          <w:rFonts w:ascii="仿宋" w:hAnsi="仿宋" w:eastAsia="仿宋" w:cs="仿宋_GB2312"/>
          <w:spacing w:val="-6"/>
          <w:sz w:val="32"/>
          <w:szCs w:val="32"/>
        </w:rPr>
        <w:t>经</w:t>
      </w:r>
      <w:r>
        <w:rPr>
          <w:rFonts w:hint="eastAsia" w:ascii="仿宋" w:hAnsi="仿宋" w:eastAsia="仿宋" w:cs="仿宋_GB2312"/>
          <w:spacing w:val="-6"/>
          <w:sz w:val="32"/>
          <w:szCs w:val="32"/>
        </w:rPr>
        <w:t>1台脉冲布袋除尘器除尘</w:t>
      </w:r>
      <w:r>
        <w:rPr>
          <w:rFonts w:ascii="仿宋" w:hAnsi="仿宋" w:eastAsia="仿宋" w:cs="仿宋_GB2312"/>
          <w:spacing w:val="-6"/>
          <w:sz w:val="32"/>
          <w:szCs w:val="32"/>
        </w:rPr>
        <w:t>处理后，由</w:t>
      </w:r>
      <w:r>
        <w:rPr>
          <w:rFonts w:hint="eastAsia" w:ascii="仿宋" w:hAnsi="仿宋" w:eastAsia="仿宋" w:cs="仿宋_GB2312"/>
          <w:spacing w:val="-6"/>
          <w:sz w:val="32"/>
          <w:szCs w:val="32"/>
        </w:rPr>
        <w:t>1座45m高烟囱</w:t>
      </w:r>
      <w:r>
        <w:rPr>
          <w:rFonts w:ascii="仿宋" w:hAnsi="仿宋" w:eastAsia="仿宋" w:cs="仿宋_GB2312"/>
          <w:spacing w:val="-6"/>
          <w:sz w:val="32"/>
          <w:szCs w:val="32"/>
        </w:rPr>
        <w:t>（DA013）</w:t>
      </w:r>
      <w:r>
        <w:rPr>
          <w:rFonts w:hint="eastAsia" w:ascii="仿宋" w:hAnsi="仿宋" w:eastAsia="仿宋" w:cs="仿宋_GB2312"/>
          <w:spacing w:val="-6"/>
          <w:sz w:val="32"/>
          <w:szCs w:val="32"/>
        </w:rPr>
        <w:t>排放。</w:t>
      </w:r>
    </w:p>
    <w:p>
      <w:pPr>
        <w:adjustRightInd w:val="0"/>
        <w:snapToGrid w:val="0"/>
        <w:spacing w:line="560" w:lineRule="exact"/>
        <w:jc w:val="left"/>
        <w:rPr>
          <w:rFonts w:ascii="仿宋" w:hAnsi="仿宋" w:eastAsia="仿宋" w:cs="仿宋_GB2312"/>
          <w:spacing w:val="-6"/>
          <w:sz w:val="32"/>
          <w:szCs w:val="32"/>
        </w:rPr>
      </w:pPr>
      <w:r>
        <w:rPr>
          <w:rFonts w:hint="eastAsia" w:ascii="仿宋" w:hAnsi="仿宋" w:eastAsia="仿宋" w:cs="仿宋_GB2312"/>
          <w:spacing w:val="-6"/>
          <w:sz w:val="32"/>
          <w:szCs w:val="32"/>
        </w:rPr>
        <w:t xml:space="preserve">    ②干法脱硫系统</w:t>
      </w:r>
      <w:r>
        <w:rPr>
          <w:rFonts w:ascii="仿宋" w:hAnsi="仿宋" w:eastAsia="仿宋" w:cs="仿宋_GB2312"/>
          <w:spacing w:val="-6"/>
          <w:sz w:val="32"/>
          <w:szCs w:val="32"/>
        </w:rPr>
        <w:t>粉仓灰仓进料废气</w:t>
      </w:r>
    </w:p>
    <w:p>
      <w:pPr>
        <w:adjustRightInd w:val="0"/>
        <w:snapToGrid w:val="0"/>
        <w:spacing w:line="560" w:lineRule="exact"/>
        <w:ind w:firstLine="592"/>
        <w:jc w:val="left"/>
        <w:rPr>
          <w:rFonts w:ascii="仿宋" w:hAnsi="仿宋" w:eastAsia="仿宋" w:cs="仿宋_GB2312"/>
          <w:spacing w:val="-6"/>
          <w:sz w:val="32"/>
          <w:szCs w:val="32"/>
        </w:rPr>
      </w:pPr>
      <w:r>
        <w:rPr>
          <w:rFonts w:hint="default" w:ascii="仿宋" w:hAnsi="仿宋" w:eastAsia="仿宋" w:cs="仿宋_GB2312"/>
          <w:spacing w:val="-6"/>
          <w:sz w:val="32"/>
          <w:szCs w:val="32"/>
        </w:rPr>
        <w:t>本</w:t>
      </w:r>
      <w:r>
        <w:rPr>
          <w:rFonts w:hint="eastAsia" w:ascii="仿宋" w:hAnsi="仿宋" w:eastAsia="仿宋" w:cs="仿宋_GB2312"/>
          <w:spacing w:val="-6"/>
          <w:sz w:val="32"/>
          <w:szCs w:val="32"/>
        </w:rPr>
        <w:t>项目干法脱硫系统脱硫剂粉仓、干法脱硫系统布袋除尘器灰仓进料产生的废气分别经仓顶布袋除尘器处理后，全部进入锅炉废气脱硫系统布袋除尘器前的烟道内，与锅炉废气统一经脉冲布袋除尘器</w:t>
      </w:r>
      <w:r>
        <w:rPr>
          <w:rFonts w:hint="default" w:ascii="仿宋" w:hAnsi="仿宋" w:eastAsia="仿宋" w:cs="仿宋_GB2312"/>
          <w:spacing w:val="-6"/>
          <w:sz w:val="32"/>
          <w:szCs w:val="32"/>
        </w:rPr>
        <w:t>处理</w:t>
      </w:r>
      <w:r>
        <w:rPr>
          <w:rFonts w:hint="eastAsia" w:ascii="仿宋" w:hAnsi="仿宋" w:eastAsia="仿宋" w:cs="仿宋_GB2312"/>
          <w:spacing w:val="-6"/>
          <w:sz w:val="32"/>
          <w:szCs w:val="32"/>
        </w:rPr>
        <w:t>后经1座45m高烟囱</w:t>
      </w:r>
      <w:r>
        <w:rPr>
          <w:rFonts w:ascii="仿宋" w:hAnsi="仿宋" w:eastAsia="仿宋" w:cs="仿宋_GB2312"/>
          <w:spacing w:val="-6"/>
          <w:sz w:val="32"/>
          <w:szCs w:val="32"/>
        </w:rPr>
        <w:t>（DA013）</w:t>
      </w:r>
      <w:r>
        <w:rPr>
          <w:rFonts w:hint="eastAsia" w:ascii="仿宋" w:hAnsi="仿宋" w:eastAsia="仿宋" w:cs="仿宋_GB2312"/>
          <w:spacing w:val="-6"/>
          <w:sz w:val="32"/>
          <w:szCs w:val="32"/>
        </w:rPr>
        <w:t>排放</w:t>
      </w:r>
      <w:r>
        <w:rPr>
          <w:rFonts w:ascii="仿宋" w:hAnsi="仿宋" w:eastAsia="仿宋" w:cs="仿宋_GB2312"/>
          <w:spacing w:val="-6"/>
          <w:sz w:val="32"/>
          <w:szCs w:val="32"/>
        </w:rPr>
        <w:t>。</w:t>
      </w:r>
    </w:p>
    <w:p>
      <w:pPr>
        <w:adjustRightInd w:val="0"/>
        <w:snapToGrid w:val="0"/>
        <w:spacing w:line="560" w:lineRule="exact"/>
        <w:jc w:val="left"/>
        <w:rPr>
          <w:rFonts w:ascii="仿宋" w:hAnsi="仿宋" w:eastAsia="仿宋" w:cs="仿宋_GB2312"/>
          <w:spacing w:val="-6"/>
          <w:sz w:val="32"/>
          <w:szCs w:val="32"/>
        </w:rPr>
      </w:pPr>
      <w:r>
        <w:rPr>
          <w:rFonts w:hint="eastAsia" w:ascii="仿宋" w:hAnsi="仿宋" w:eastAsia="仿宋" w:cs="仿宋_GB2312"/>
          <w:spacing w:val="-6"/>
          <w:sz w:val="32"/>
          <w:szCs w:val="32"/>
        </w:rPr>
        <w:t xml:space="preserve">    </w:t>
      </w:r>
      <w:r>
        <w:rPr>
          <w:rFonts w:hint="default" w:ascii="仿宋" w:hAnsi="仿宋" w:eastAsia="仿宋" w:cs="仿宋_GB2312"/>
          <w:spacing w:val="-6"/>
          <w:sz w:val="32"/>
          <w:szCs w:val="32"/>
        </w:rPr>
        <w:t xml:space="preserve"> </w:t>
      </w:r>
      <w:r>
        <w:rPr>
          <w:rFonts w:hint="eastAsia" w:ascii="仿宋" w:hAnsi="仿宋" w:eastAsia="仿宋" w:cs="仿宋_GB2312"/>
          <w:spacing w:val="-6"/>
          <w:sz w:val="32"/>
          <w:szCs w:val="32"/>
        </w:rPr>
        <w:t>项目所排废气中颗粒物、二氧化硫、氮氧化物浓度须满足《火电厂大气污染物排放标准》（GB13223－2011）表2大气污染物特别排放限值标准，同时需满足《关于推进实施钢铁行业超低排放的意见》（环大气[2019]35号）附件2 钢铁企业自备电厂燃气锅炉超低排放指标限值。氨浓度</w:t>
      </w:r>
      <w:r>
        <w:rPr>
          <w:rFonts w:hint="default" w:ascii="仿宋" w:hAnsi="仿宋" w:eastAsia="仿宋" w:cs="仿宋_GB2312"/>
          <w:spacing w:val="-6"/>
          <w:sz w:val="32"/>
          <w:szCs w:val="32"/>
        </w:rPr>
        <w:t>须</w:t>
      </w:r>
      <w:r>
        <w:rPr>
          <w:rFonts w:hint="eastAsia" w:ascii="仿宋" w:hAnsi="仿宋" w:eastAsia="仿宋" w:cs="仿宋_GB2312"/>
          <w:spacing w:val="-6"/>
          <w:sz w:val="32"/>
          <w:szCs w:val="32"/>
        </w:rPr>
        <w:t>满足《锅炉大气污染物排放标准》（DB13/5161-2020）中表1大气污染物排放限值。</w:t>
      </w:r>
      <w:r>
        <w:rPr>
          <w:rFonts w:ascii="仿宋" w:hAnsi="仿宋" w:eastAsia="仿宋" w:cs="仿宋_GB2312"/>
          <w:spacing w:val="-6"/>
          <w:sz w:val="32"/>
          <w:szCs w:val="32"/>
        </w:rPr>
        <w:t xml:space="preserve">    </w:t>
      </w:r>
    </w:p>
    <w:p>
      <w:pPr>
        <w:pStyle w:val="9"/>
        <w:spacing w:after="0" w:line="560" w:lineRule="exact"/>
        <w:ind w:firstLine="0" w:firstLineChars="0"/>
        <w:rPr>
          <w:rFonts w:ascii="仿宋" w:hAnsi="仿宋" w:eastAsia="仿宋" w:cs="仿宋_GB2312"/>
          <w:spacing w:val="-6"/>
          <w:sz w:val="32"/>
          <w:szCs w:val="32"/>
        </w:rPr>
      </w:pPr>
      <w:r>
        <w:rPr>
          <w:rFonts w:ascii="仿宋" w:hAnsi="仿宋" w:eastAsia="仿宋" w:cs="仿宋_GB2312"/>
          <w:spacing w:val="-6"/>
          <w:sz w:val="32"/>
          <w:szCs w:val="32"/>
        </w:rPr>
        <w:t xml:space="preserve">    （2）无组织排放废气</w:t>
      </w:r>
    </w:p>
    <w:p>
      <w:pPr>
        <w:pStyle w:val="9"/>
        <w:spacing w:after="0" w:line="560" w:lineRule="exact"/>
        <w:ind w:firstLine="0" w:firstLineChars="0"/>
        <w:rPr>
          <w:rFonts w:ascii="仿宋" w:hAnsi="仿宋" w:eastAsia="仿宋" w:cs="仿宋_GB2312"/>
          <w:spacing w:val="-6"/>
          <w:sz w:val="32"/>
          <w:szCs w:val="32"/>
        </w:rPr>
      </w:pPr>
      <w:r>
        <w:rPr>
          <w:rFonts w:hint="eastAsia" w:ascii="仿宋" w:hAnsi="仿宋" w:eastAsia="仿宋" w:cs="仿宋_GB2312"/>
          <w:spacing w:val="-6"/>
          <w:sz w:val="32"/>
          <w:szCs w:val="32"/>
        </w:rPr>
        <w:t xml:space="preserve">    </w:t>
      </w:r>
      <w:r>
        <w:rPr>
          <w:rFonts w:hint="default" w:ascii="仿宋" w:hAnsi="仿宋" w:eastAsia="仿宋" w:cs="仿宋_GB2312"/>
          <w:spacing w:val="-6"/>
          <w:sz w:val="32"/>
          <w:szCs w:val="32"/>
        </w:rPr>
        <w:t>本项目</w:t>
      </w:r>
      <w:r>
        <w:rPr>
          <w:rFonts w:hint="eastAsia" w:ascii="仿宋" w:hAnsi="仿宋" w:eastAsia="仿宋" w:cs="仿宋_GB2312"/>
          <w:spacing w:val="-6"/>
          <w:sz w:val="32"/>
          <w:szCs w:val="32"/>
        </w:rPr>
        <w:t>氨水储罐排放的氨气</w:t>
      </w:r>
      <w:r>
        <w:rPr>
          <w:rFonts w:ascii="仿宋" w:hAnsi="仿宋" w:eastAsia="仿宋" w:cs="仿宋_GB2312"/>
          <w:spacing w:val="-6"/>
          <w:sz w:val="32"/>
          <w:szCs w:val="32"/>
        </w:rPr>
        <w:t>经水吸收装置后</w:t>
      </w:r>
      <w:r>
        <w:rPr>
          <w:rFonts w:hint="eastAsia" w:ascii="仿宋" w:hAnsi="仿宋" w:eastAsia="仿宋" w:cs="仿宋_GB2312"/>
          <w:spacing w:val="-6"/>
          <w:sz w:val="32"/>
          <w:szCs w:val="32"/>
        </w:rPr>
        <w:t>无组织排放</w:t>
      </w:r>
      <w:r>
        <w:rPr>
          <w:rFonts w:ascii="仿宋" w:hAnsi="仿宋" w:eastAsia="仿宋" w:cs="仿宋_GB2312"/>
          <w:spacing w:val="-6"/>
          <w:sz w:val="32"/>
          <w:szCs w:val="32"/>
        </w:rPr>
        <w:t>；</w:t>
      </w:r>
      <w:r>
        <w:rPr>
          <w:rFonts w:hint="eastAsia" w:ascii="仿宋" w:hAnsi="仿宋" w:eastAsia="仿宋" w:cs="仿宋_GB2312"/>
          <w:spacing w:val="-6"/>
          <w:sz w:val="32"/>
          <w:szCs w:val="32"/>
        </w:rPr>
        <w:t>干法脱硫系统布袋除尘器灰仓收集的脱硫副产物自灰仓卸料时通过加湿机加湿搅拌装车，装车区域采用全封闭措施防止扬尘</w:t>
      </w:r>
      <w:r>
        <w:rPr>
          <w:rFonts w:ascii="仿宋" w:hAnsi="仿宋" w:eastAsia="仿宋" w:cs="仿宋_GB2312"/>
          <w:spacing w:val="-6"/>
          <w:sz w:val="32"/>
          <w:szCs w:val="32"/>
        </w:rPr>
        <w:t>。</w:t>
      </w:r>
    </w:p>
    <w:p>
      <w:pPr>
        <w:pStyle w:val="9"/>
        <w:spacing w:after="0" w:line="560" w:lineRule="exact"/>
        <w:ind w:firstLine="0" w:firstLineChars="0"/>
        <w:rPr>
          <w:rFonts w:ascii="仿宋" w:hAnsi="仿宋" w:eastAsia="仿宋" w:cs="仿宋_GB2312"/>
          <w:spacing w:val="-6"/>
          <w:sz w:val="32"/>
          <w:szCs w:val="32"/>
        </w:rPr>
      </w:pPr>
      <w:r>
        <w:rPr>
          <w:rFonts w:ascii="仿宋" w:hAnsi="仿宋" w:eastAsia="仿宋" w:cs="仿宋_GB2312"/>
          <w:spacing w:val="-6"/>
          <w:sz w:val="32"/>
          <w:szCs w:val="32"/>
        </w:rPr>
        <w:t xml:space="preserve">     项目无组织排放废气</w:t>
      </w:r>
      <w:r>
        <w:rPr>
          <w:rFonts w:hint="eastAsia" w:ascii="仿宋" w:hAnsi="仿宋" w:eastAsia="仿宋" w:cs="仿宋_GB2312"/>
          <w:spacing w:val="-6"/>
          <w:sz w:val="32"/>
          <w:szCs w:val="32"/>
        </w:rPr>
        <w:t>中氨</w:t>
      </w:r>
      <w:r>
        <w:rPr>
          <w:rFonts w:hint="default" w:ascii="仿宋" w:hAnsi="仿宋" w:eastAsia="仿宋" w:cs="仿宋_GB2312"/>
          <w:spacing w:val="-6"/>
          <w:sz w:val="32"/>
          <w:szCs w:val="32"/>
        </w:rPr>
        <w:t>浓度</w:t>
      </w:r>
      <w:r>
        <w:rPr>
          <w:rFonts w:ascii="仿宋" w:hAnsi="仿宋" w:eastAsia="仿宋" w:cs="仿宋_GB2312"/>
          <w:spacing w:val="-6"/>
          <w:sz w:val="32"/>
          <w:szCs w:val="32"/>
        </w:rPr>
        <w:t>须满足</w:t>
      </w:r>
      <w:r>
        <w:rPr>
          <w:rFonts w:hint="eastAsia" w:ascii="仿宋" w:hAnsi="仿宋" w:eastAsia="仿宋" w:cs="仿宋_GB2312"/>
          <w:spacing w:val="-6"/>
          <w:sz w:val="32"/>
          <w:szCs w:val="32"/>
        </w:rPr>
        <w:t>《恶臭污染物排放标准》（GB14554－93）表1中氨厂界标准值要求</w:t>
      </w:r>
      <w:r>
        <w:rPr>
          <w:rFonts w:ascii="仿宋" w:hAnsi="仿宋" w:eastAsia="仿宋" w:cs="仿宋_GB2312"/>
          <w:spacing w:val="-6"/>
          <w:sz w:val="32"/>
          <w:szCs w:val="32"/>
        </w:rPr>
        <w:t>；颗粒物须满足《钢铁工业大气污染物超低排放标准》（DB13/2169-2018）表5厂界无组织排放限值</w:t>
      </w:r>
      <w:r>
        <w:rPr>
          <w:rFonts w:hint="eastAsia" w:ascii="仿宋" w:hAnsi="仿宋" w:eastAsia="仿宋" w:cs="仿宋_GB2312"/>
          <w:spacing w:val="-6"/>
          <w:sz w:val="32"/>
          <w:szCs w:val="32"/>
        </w:rPr>
        <w:t>及《秦皇岛市人民政府办公室关于执行钢铁等行业大气污染物排放特别要求的通知》（[2021]-10）文件中厂界无组织排放浓度限值要求</w:t>
      </w:r>
      <w:r>
        <w:rPr>
          <w:rFonts w:ascii="仿宋" w:hAnsi="仿宋" w:eastAsia="仿宋" w:cs="仿宋_GB2312"/>
          <w:spacing w:val="-6"/>
          <w:sz w:val="32"/>
          <w:szCs w:val="32"/>
        </w:rPr>
        <w:t>。</w:t>
      </w:r>
    </w:p>
    <w:p>
      <w:pPr>
        <w:adjustRightInd w:val="0"/>
        <w:snapToGrid w:val="0"/>
        <w:spacing w:line="560" w:lineRule="exact"/>
        <w:ind w:firstLine="616" w:firstLineChars="200"/>
        <w:rPr>
          <w:rFonts w:ascii="仿宋" w:hAnsi="仿宋" w:eastAsia="仿宋" w:cs="仿宋_GB2312"/>
          <w:spacing w:val="-6"/>
          <w:sz w:val="32"/>
          <w:szCs w:val="32"/>
        </w:rPr>
      </w:pPr>
      <w:r>
        <w:rPr>
          <w:rFonts w:hint="eastAsia" w:ascii="仿宋" w:hAnsi="仿宋" w:eastAsia="仿宋" w:cs="仿宋_GB2312"/>
          <w:spacing w:val="-6"/>
          <w:sz w:val="32"/>
          <w:szCs w:val="32"/>
        </w:rPr>
        <w:t>2、</w:t>
      </w:r>
      <w:r>
        <w:rPr>
          <w:rFonts w:hint="eastAsia" w:ascii="仿宋" w:hAnsi="仿宋" w:eastAsia="仿宋" w:cs="Times New Roman"/>
          <w:color w:val="000000"/>
          <w:spacing w:val="-6"/>
          <w:sz w:val="32"/>
          <w:szCs w:val="32"/>
        </w:rPr>
        <w:t>严格落实水污染防治措施</w:t>
      </w:r>
    </w:p>
    <w:p>
      <w:pPr>
        <w:adjustRightInd w:val="0"/>
        <w:snapToGrid w:val="0"/>
        <w:spacing w:line="560" w:lineRule="exact"/>
        <w:ind w:firstLine="556"/>
        <w:rPr>
          <w:rFonts w:ascii="仿宋" w:hAnsi="仿宋" w:eastAsia="仿宋" w:cs="仿宋_GB2312"/>
          <w:spacing w:val="-6"/>
          <w:sz w:val="32"/>
          <w:szCs w:val="32"/>
        </w:rPr>
      </w:pPr>
      <w:r>
        <w:rPr>
          <w:rFonts w:ascii="仿宋" w:hAnsi="仿宋" w:eastAsia="仿宋" w:cs="仿宋_GB2312"/>
          <w:spacing w:val="-6"/>
          <w:sz w:val="32"/>
          <w:szCs w:val="32"/>
        </w:rPr>
        <w:t>本</w:t>
      </w:r>
      <w:r>
        <w:rPr>
          <w:rFonts w:hint="eastAsia" w:ascii="仿宋" w:hAnsi="仿宋" w:eastAsia="仿宋" w:cs="仿宋_GB2312"/>
          <w:spacing w:val="-6"/>
          <w:sz w:val="32"/>
          <w:szCs w:val="32"/>
        </w:rPr>
        <w:t>项目</w:t>
      </w:r>
      <w:r>
        <w:rPr>
          <w:rFonts w:ascii="仿宋" w:hAnsi="仿宋" w:eastAsia="仿宋" w:cs="仿宋_GB2312"/>
          <w:spacing w:val="-6"/>
          <w:sz w:val="32"/>
          <w:szCs w:val="32"/>
        </w:rPr>
        <w:t>无废水外排，</w:t>
      </w:r>
      <w:r>
        <w:rPr>
          <w:rFonts w:hint="eastAsia" w:ascii="仿宋" w:hAnsi="仿宋" w:eastAsia="仿宋" w:cs="仿宋_GB2312"/>
          <w:spacing w:val="-6"/>
          <w:sz w:val="32"/>
          <w:szCs w:val="32"/>
        </w:rPr>
        <w:t>化学水制备系统废水经一期工程现有中和池中和处理后进厂区综合污水处理站处理，处理后全部作为高炉冲渣系统补水；循环冷却水系统废水及锅炉系统废水进厂区综合污水处理站处理后</w:t>
      </w:r>
      <w:r>
        <w:rPr>
          <w:rFonts w:ascii="仿宋" w:hAnsi="仿宋" w:eastAsia="仿宋" w:cs="仿宋_GB2312"/>
          <w:spacing w:val="-6"/>
          <w:sz w:val="32"/>
          <w:szCs w:val="32"/>
        </w:rPr>
        <w:t>全部</w:t>
      </w:r>
      <w:r>
        <w:rPr>
          <w:rFonts w:hint="eastAsia" w:ascii="仿宋" w:hAnsi="仿宋" w:eastAsia="仿宋" w:cs="仿宋_GB2312"/>
          <w:spacing w:val="-6"/>
          <w:sz w:val="32"/>
          <w:szCs w:val="32"/>
        </w:rPr>
        <w:t>用于高炉设备冷却补充水</w:t>
      </w:r>
      <w:r>
        <w:rPr>
          <w:rFonts w:ascii="仿宋" w:hAnsi="仿宋" w:eastAsia="仿宋" w:cs="仿宋_GB2312"/>
          <w:spacing w:val="-6"/>
          <w:sz w:val="32"/>
          <w:szCs w:val="32"/>
        </w:rPr>
        <w:t>。</w:t>
      </w:r>
    </w:p>
    <w:p>
      <w:pPr>
        <w:adjustRightInd w:val="0"/>
        <w:snapToGrid w:val="0"/>
        <w:spacing w:line="560" w:lineRule="exact"/>
        <w:ind w:firstLine="556"/>
        <w:rPr>
          <w:rFonts w:ascii="仿宋" w:hAnsi="仿宋" w:eastAsia="仿宋" w:cs="仿宋_GB2312"/>
          <w:spacing w:val="-6"/>
          <w:sz w:val="32"/>
          <w:szCs w:val="32"/>
        </w:rPr>
      </w:pPr>
      <w:r>
        <w:rPr>
          <w:rFonts w:hint="eastAsia" w:ascii="仿宋" w:hAnsi="仿宋" w:eastAsia="仿宋" w:cs="仿宋_GB2312"/>
          <w:spacing w:val="-6"/>
          <w:sz w:val="32"/>
          <w:szCs w:val="32"/>
        </w:rPr>
        <w:t xml:space="preserve"> 3、严格落实噪声污染防治措施</w:t>
      </w:r>
    </w:p>
    <w:p>
      <w:pPr>
        <w:adjustRightInd w:val="0"/>
        <w:snapToGrid w:val="0"/>
        <w:spacing w:line="560" w:lineRule="exact"/>
        <w:ind w:firstLine="556"/>
        <w:rPr>
          <w:rFonts w:ascii="仿宋" w:hAnsi="仿宋" w:eastAsia="仿宋" w:cs="Courier New"/>
          <w:color w:val="FF0000"/>
          <w:spacing w:val="-6"/>
          <w:sz w:val="32"/>
          <w:szCs w:val="32"/>
        </w:rPr>
      </w:pPr>
      <w:r>
        <w:rPr>
          <w:rFonts w:hint="eastAsia" w:ascii="仿宋" w:hAnsi="仿宋" w:eastAsia="仿宋" w:cs="Courier New"/>
          <w:spacing w:val="-6"/>
          <w:sz w:val="32"/>
          <w:szCs w:val="32"/>
        </w:rPr>
        <w:t>采取各项降噪措施，严格控制生产过程产生的噪声对周围环境的影响。项目选用</w:t>
      </w:r>
      <w:r>
        <w:rPr>
          <w:rFonts w:ascii="仿宋" w:hAnsi="仿宋" w:eastAsia="仿宋" w:cs="Courier New"/>
          <w:spacing w:val="-6"/>
          <w:sz w:val="32"/>
          <w:szCs w:val="32"/>
        </w:rPr>
        <w:t>厂房隔声、基础减震、风机安装消声器等措施</w:t>
      </w:r>
      <w:r>
        <w:rPr>
          <w:rFonts w:hint="eastAsia" w:ascii="仿宋" w:hAnsi="仿宋" w:eastAsia="仿宋" w:cs="Courier New"/>
          <w:spacing w:val="-6"/>
          <w:sz w:val="32"/>
          <w:szCs w:val="32"/>
        </w:rPr>
        <w:t>，</w:t>
      </w:r>
      <w:r>
        <w:rPr>
          <w:rFonts w:ascii="仿宋" w:hAnsi="仿宋" w:eastAsia="仿宋" w:cs="Courier New"/>
          <w:spacing w:val="-6"/>
          <w:sz w:val="32"/>
          <w:szCs w:val="32"/>
        </w:rPr>
        <w:t>其中汽轮机进气口</w:t>
      </w:r>
      <w:r>
        <w:rPr>
          <w:rFonts w:hint="eastAsia" w:ascii="仿宋" w:hAnsi="仿宋" w:eastAsia="仿宋" w:cs="Courier New"/>
          <w:spacing w:val="-6"/>
          <w:sz w:val="32"/>
          <w:szCs w:val="32"/>
        </w:rPr>
        <w:t>排汽孔安装小孔消音器</w:t>
      </w:r>
      <w:r>
        <w:rPr>
          <w:rFonts w:ascii="仿宋" w:hAnsi="仿宋" w:eastAsia="仿宋" w:cs="Courier New"/>
          <w:spacing w:val="-6"/>
          <w:sz w:val="32"/>
          <w:szCs w:val="32"/>
        </w:rPr>
        <w:t>，锅炉</w:t>
      </w:r>
      <w:r>
        <w:rPr>
          <w:rFonts w:hint="eastAsia" w:ascii="仿宋" w:hAnsi="仿宋" w:eastAsia="仿宋" w:cs="Courier New"/>
          <w:spacing w:val="-6"/>
          <w:sz w:val="32"/>
          <w:szCs w:val="32"/>
        </w:rPr>
        <w:t>安全阀和排汽口均加装有专用消音器</w:t>
      </w:r>
      <w:r>
        <w:rPr>
          <w:rFonts w:ascii="仿宋" w:hAnsi="仿宋" w:eastAsia="仿宋" w:cs="Courier New"/>
          <w:spacing w:val="-6"/>
          <w:sz w:val="32"/>
          <w:szCs w:val="32"/>
        </w:rPr>
        <w:t>等措施</w:t>
      </w:r>
      <w:r>
        <w:rPr>
          <w:rFonts w:hint="eastAsia" w:ascii="仿宋" w:hAnsi="仿宋" w:eastAsia="仿宋" w:cs="Courier New"/>
          <w:spacing w:val="-6"/>
          <w:sz w:val="32"/>
          <w:szCs w:val="32"/>
        </w:rPr>
        <w:t>，项目实施后厂界噪声须满足《工业企业厂界环境噪声排放标准》（GB12348-2008）</w:t>
      </w:r>
      <w:r>
        <w:rPr>
          <w:rFonts w:ascii="仿宋" w:hAnsi="仿宋" w:eastAsia="仿宋" w:cs="Courier New"/>
          <w:spacing w:val="-6"/>
          <w:sz w:val="32"/>
          <w:szCs w:val="32"/>
        </w:rPr>
        <w:t>3</w:t>
      </w:r>
      <w:r>
        <w:rPr>
          <w:rFonts w:hint="eastAsia" w:ascii="仿宋" w:hAnsi="仿宋" w:eastAsia="仿宋" w:cs="Courier New"/>
          <w:spacing w:val="-6"/>
          <w:sz w:val="32"/>
          <w:szCs w:val="32"/>
        </w:rPr>
        <w:t>类</w:t>
      </w:r>
      <w:r>
        <w:rPr>
          <w:rFonts w:ascii="仿宋" w:hAnsi="仿宋" w:eastAsia="仿宋" w:cs="Courier New"/>
          <w:spacing w:val="-6"/>
          <w:sz w:val="32"/>
          <w:szCs w:val="32"/>
        </w:rPr>
        <w:t>区</w:t>
      </w:r>
      <w:r>
        <w:rPr>
          <w:rFonts w:hint="eastAsia" w:ascii="仿宋" w:hAnsi="仿宋" w:eastAsia="仿宋" w:cs="Courier New"/>
          <w:spacing w:val="-6"/>
          <w:sz w:val="32"/>
          <w:szCs w:val="32"/>
        </w:rPr>
        <w:t>标准要求。</w:t>
      </w:r>
    </w:p>
    <w:p>
      <w:pPr>
        <w:adjustRightInd w:val="0"/>
        <w:snapToGrid w:val="0"/>
        <w:spacing w:line="560" w:lineRule="exact"/>
        <w:ind w:left="555"/>
        <w:outlineLvl w:val="0"/>
        <w:rPr>
          <w:rFonts w:ascii="仿宋" w:hAnsi="仿宋" w:eastAsia="仿宋" w:cs="Courier New"/>
          <w:spacing w:val="-6"/>
          <w:sz w:val="32"/>
          <w:szCs w:val="32"/>
        </w:rPr>
      </w:pPr>
      <w:r>
        <w:rPr>
          <w:rFonts w:hint="eastAsia" w:ascii="仿宋" w:hAnsi="仿宋" w:eastAsia="仿宋" w:cs="Courier New"/>
          <w:spacing w:val="-6"/>
          <w:sz w:val="32"/>
          <w:szCs w:val="32"/>
        </w:rPr>
        <w:t xml:space="preserve"> </w:t>
      </w:r>
      <w:r>
        <w:rPr>
          <w:rFonts w:ascii="仿宋" w:hAnsi="仿宋" w:eastAsia="仿宋" w:cs="Courier New"/>
          <w:spacing w:val="-6"/>
          <w:sz w:val="32"/>
          <w:szCs w:val="32"/>
        </w:rPr>
        <w:t>4、</w:t>
      </w:r>
      <w:r>
        <w:rPr>
          <w:rFonts w:hint="eastAsia" w:ascii="仿宋" w:hAnsi="仿宋" w:eastAsia="仿宋" w:cs="Courier New"/>
          <w:spacing w:val="-6"/>
          <w:sz w:val="32"/>
          <w:szCs w:val="32"/>
        </w:rPr>
        <w:t>严格落实固体废物污染防治措施</w:t>
      </w:r>
    </w:p>
    <w:p>
      <w:pPr>
        <w:adjustRightInd w:val="0"/>
        <w:snapToGrid w:val="0"/>
        <w:spacing w:line="560" w:lineRule="exact"/>
        <w:rPr>
          <w:rFonts w:ascii="仿宋" w:hAnsi="仿宋" w:eastAsia="仿宋" w:cs="Courier New"/>
          <w:sz w:val="32"/>
          <w:szCs w:val="32"/>
        </w:rPr>
      </w:pPr>
      <w:r>
        <w:rPr>
          <w:rFonts w:hint="eastAsia" w:ascii="仿宋" w:hAnsi="仿宋" w:eastAsia="仿宋" w:cs="Courier New"/>
          <w:spacing w:val="-6"/>
          <w:sz w:val="32"/>
          <w:szCs w:val="32"/>
        </w:rPr>
        <w:t xml:space="preserve">    企业要严格落实固体废物分类处置和综合利用措施，认真落实《报告表》规定的固体废物处理、处置措施。按照“资源化、减量化、无害化”的固废处置原则，实现综合利用。项目产生的固体废物主要为</w:t>
      </w:r>
      <w:r>
        <w:rPr>
          <w:rFonts w:ascii="仿宋" w:hAnsi="仿宋" w:eastAsia="仿宋" w:cs="Courier New"/>
          <w:spacing w:val="-6"/>
          <w:sz w:val="32"/>
          <w:szCs w:val="32"/>
        </w:rPr>
        <w:t>脱硫剂粉仓</w:t>
      </w:r>
      <w:r>
        <w:rPr>
          <w:rFonts w:hint="eastAsia" w:ascii="仿宋" w:hAnsi="仿宋" w:eastAsia="仿宋" w:cs="Courier New"/>
          <w:spacing w:val="-6"/>
          <w:sz w:val="32"/>
          <w:szCs w:val="32"/>
        </w:rPr>
        <w:t>仓顶除尘器</w:t>
      </w:r>
      <w:r>
        <w:rPr>
          <w:rFonts w:ascii="仿宋" w:hAnsi="仿宋" w:eastAsia="仿宋" w:cs="Courier New"/>
          <w:spacing w:val="-6"/>
          <w:sz w:val="32"/>
          <w:szCs w:val="32"/>
        </w:rPr>
        <w:t>除尘灰、布袋除尘器</w:t>
      </w:r>
      <w:r>
        <w:rPr>
          <w:rFonts w:hint="eastAsia" w:ascii="仿宋" w:hAnsi="仿宋" w:eastAsia="仿宋" w:cs="Courier New"/>
          <w:spacing w:val="-6"/>
          <w:sz w:val="32"/>
          <w:szCs w:val="32"/>
        </w:rPr>
        <w:t>灰仓仓顶除尘器</w:t>
      </w:r>
      <w:r>
        <w:rPr>
          <w:rFonts w:ascii="仿宋" w:hAnsi="仿宋" w:eastAsia="仿宋" w:cs="Courier New"/>
          <w:spacing w:val="-6"/>
          <w:sz w:val="32"/>
          <w:szCs w:val="32"/>
        </w:rPr>
        <w:t>除尘灰、布袋除尘器</w:t>
      </w:r>
      <w:r>
        <w:rPr>
          <w:rFonts w:hint="eastAsia" w:ascii="仿宋" w:hAnsi="仿宋" w:eastAsia="仿宋" w:cs="Courier New"/>
          <w:spacing w:val="-6"/>
          <w:sz w:val="32"/>
          <w:szCs w:val="32"/>
        </w:rPr>
        <w:t>灰仓</w:t>
      </w:r>
      <w:r>
        <w:rPr>
          <w:rFonts w:ascii="仿宋" w:hAnsi="仿宋" w:eastAsia="仿宋" w:cs="Courier New"/>
          <w:spacing w:val="-6"/>
          <w:sz w:val="32"/>
          <w:szCs w:val="32"/>
        </w:rPr>
        <w:t>收集的脱硫副产物、冷油器产生的废油、废润滑油及废油桶。其中脱硫剂粉仓</w:t>
      </w:r>
      <w:r>
        <w:rPr>
          <w:rFonts w:hint="eastAsia" w:ascii="仿宋" w:hAnsi="仿宋" w:eastAsia="仿宋" w:cs="Courier New"/>
          <w:spacing w:val="-6"/>
          <w:sz w:val="32"/>
          <w:szCs w:val="32"/>
        </w:rPr>
        <w:t>仓顶除尘器</w:t>
      </w:r>
      <w:r>
        <w:rPr>
          <w:rFonts w:ascii="仿宋" w:hAnsi="仿宋" w:eastAsia="仿宋" w:cs="Courier New"/>
          <w:spacing w:val="-6"/>
          <w:sz w:val="32"/>
          <w:szCs w:val="32"/>
        </w:rPr>
        <w:t>除尘灰全部回用，布袋除尘器</w:t>
      </w:r>
      <w:r>
        <w:rPr>
          <w:rFonts w:hint="eastAsia" w:ascii="仿宋" w:hAnsi="仿宋" w:eastAsia="仿宋" w:cs="Courier New"/>
          <w:spacing w:val="-6"/>
          <w:sz w:val="32"/>
          <w:szCs w:val="32"/>
        </w:rPr>
        <w:t>灰仓仓顶除尘器</w:t>
      </w:r>
      <w:r>
        <w:rPr>
          <w:rFonts w:ascii="仿宋" w:hAnsi="仿宋" w:eastAsia="仿宋" w:cs="Courier New"/>
          <w:spacing w:val="-6"/>
          <w:sz w:val="32"/>
          <w:szCs w:val="32"/>
        </w:rPr>
        <w:t>除尘灰暂存在厂区一般固废暂存处，定期外售综合利用，布袋除尘器</w:t>
      </w:r>
      <w:r>
        <w:rPr>
          <w:rFonts w:hint="eastAsia" w:ascii="仿宋" w:hAnsi="仿宋" w:eastAsia="仿宋" w:cs="Courier New"/>
          <w:spacing w:val="-6"/>
          <w:sz w:val="32"/>
          <w:szCs w:val="32"/>
        </w:rPr>
        <w:t>灰仓</w:t>
      </w:r>
      <w:r>
        <w:rPr>
          <w:rFonts w:ascii="仿宋" w:hAnsi="仿宋" w:eastAsia="仿宋" w:cs="Courier New"/>
          <w:spacing w:val="-6"/>
          <w:sz w:val="32"/>
          <w:szCs w:val="32"/>
        </w:rPr>
        <w:t>收集的脱硫副产物</w:t>
      </w:r>
      <w:r>
        <w:rPr>
          <w:rFonts w:hint="eastAsia" w:ascii="仿宋" w:hAnsi="仿宋" w:eastAsia="仿宋" w:cs="Courier New"/>
          <w:spacing w:val="-6"/>
          <w:sz w:val="32"/>
          <w:szCs w:val="32"/>
        </w:rPr>
        <w:t>直接采用罐车外运综合利用</w:t>
      </w:r>
      <w:r>
        <w:rPr>
          <w:rFonts w:ascii="仿宋" w:hAnsi="仿宋" w:eastAsia="仿宋" w:cs="Courier New"/>
          <w:spacing w:val="-6"/>
          <w:sz w:val="32"/>
          <w:szCs w:val="32"/>
        </w:rPr>
        <w:t>；冷油器产生的废油、废润滑油及废油桶</w:t>
      </w:r>
      <w:r>
        <w:rPr>
          <w:rFonts w:hint="eastAsia" w:ascii="仿宋" w:hAnsi="仿宋" w:eastAsia="仿宋" w:cs="Courier New"/>
          <w:spacing w:val="-6"/>
          <w:sz w:val="32"/>
          <w:szCs w:val="32"/>
        </w:rPr>
        <w:t>为危险废物</w:t>
      </w:r>
      <w:r>
        <w:rPr>
          <w:rFonts w:ascii="仿宋" w:hAnsi="仿宋" w:eastAsia="仿宋" w:cs="Courier New"/>
          <w:spacing w:val="-6"/>
          <w:sz w:val="32"/>
          <w:szCs w:val="32"/>
        </w:rPr>
        <w:t>,</w:t>
      </w:r>
      <w:r>
        <w:rPr>
          <w:rFonts w:hint="eastAsia" w:ascii="仿宋" w:hAnsi="仿宋" w:eastAsia="仿宋" w:cs="Courier New"/>
          <w:spacing w:val="-6"/>
          <w:sz w:val="32"/>
          <w:szCs w:val="32"/>
        </w:rPr>
        <w:t>暂存于厂区现有危废暂存间，</w:t>
      </w:r>
      <w:r>
        <w:rPr>
          <w:rFonts w:ascii="仿宋" w:hAnsi="仿宋" w:eastAsia="仿宋" w:cs="Courier New"/>
          <w:spacing w:val="-6"/>
          <w:sz w:val="32"/>
          <w:szCs w:val="32"/>
        </w:rPr>
        <w:t>定期委托有资质单位处置，生活垃圾统一收集</w:t>
      </w:r>
      <w:r>
        <w:rPr>
          <w:rFonts w:hint="eastAsia" w:ascii="仿宋" w:hAnsi="仿宋" w:eastAsia="仿宋" w:cs="Courier New"/>
          <w:sz w:val="32"/>
          <w:szCs w:val="32"/>
        </w:rPr>
        <w:t>由环卫部门处置并清运。</w:t>
      </w:r>
    </w:p>
    <w:p>
      <w:pPr>
        <w:spacing w:line="560" w:lineRule="exact"/>
        <w:ind w:firstLine="480"/>
        <w:rPr>
          <w:rFonts w:ascii="仿宋" w:hAnsi="仿宋" w:eastAsia="仿宋" w:cs="Courier New"/>
          <w:spacing w:val="-6"/>
          <w:sz w:val="32"/>
          <w:szCs w:val="32"/>
        </w:rPr>
      </w:pPr>
      <w:r>
        <w:rPr>
          <w:rFonts w:hint="eastAsia" w:ascii="仿宋" w:hAnsi="仿宋" w:eastAsia="仿宋" w:cs="Courier New"/>
          <w:spacing w:val="-6"/>
          <w:sz w:val="32"/>
          <w:szCs w:val="32"/>
        </w:rPr>
        <w:t>项目</w:t>
      </w:r>
      <w:r>
        <w:rPr>
          <w:rFonts w:ascii="仿宋" w:hAnsi="仿宋" w:eastAsia="仿宋" w:cs="Courier New"/>
          <w:spacing w:val="-6"/>
          <w:sz w:val="32"/>
          <w:szCs w:val="32"/>
        </w:rPr>
        <w:t>采用库房、包装工具贮存一般工业固废过程的污染控制应满足</w:t>
      </w:r>
      <w:r>
        <w:rPr>
          <w:rFonts w:hint="eastAsia" w:ascii="仿宋" w:hAnsi="仿宋" w:eastAsia="仿宋" w:cs="Courier New"/>
          <w:spacing w:val="-6"/>
          <w:sz w:val="32"/>
          <w:szCs w:val="32"/>
        </w:rPr>
        <w:t>防渗漏、防雨淋、防扬尘</w:t>
      </w:r>
      <w:r>
        <w:rPr>
          <w:rFonts w:ascii="仿宋" w:hAnsi="仿宋" w:eastAsia="仿宋" w:cs="Courier New"/>
          <w:spacing w:val="-6"/>
          <w:sz w:val="32"/>
          <w:szCs w:val="32"/>
        </w:rPr>
        <w:t>等环境保护要求</w:t>
      </w:r>
      <w:r>
        <w:rPr>
          <w:rFonts w:hint="eastAsia" w:ascii="仿宋" w:hAnsi="仿宋" w:eastAsia="仿宋" w:cs="Courier New"/>
          <w:spacing w:val="-6"/>
          <w:sz w:val="32"/>
          <w:szCs w:val="32"/>
        </w:rPr>
        <w:t>；项目产生的危险废物及危险废物暂存库须满足《危险废物贮存污染控制标准》(GB18597-2001)及其2013年修改单要求。</w:t>
      </w:r>
    </w:p>
    <w:p>
      <w:pPr>
        <w:spacing w:line="560" w:lineRule="exact"/>
        <w:ind w:firstLine="616"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5、认真</w:t>
      </w:r>
      <w:r>
        <w:rPr>
          <w:rFonts w:hint="eastAsia" w:ascii="仿宋" w:hAnsi="仿宋" w:eastAsia="仿宋" w:cs="Times New Roman"/>
          <w:sz w:val="32"/>
          <w:szCs w:val="32"/>
        </w:rPr>
        <w:t>落实《报告表》其他环境管理要求。</w:t>
      </w:r>
    </w:p>
    <w:p>
      <w:pPr>
        <w:numPr>
          <w:ilvl w:val="0"/>
          <w:numId w:val="3"/>
        </w:numPr>
        <w:adjustRightInd w:val="0"/>
        <w:snapToGrid w:val="0"/>
        <w:spacing w:line="560" w:lineRule="exact"/>
        <w:ind w:firstLine="616" w:firstLineChars="200"/>
        <w:rPr>
          <w:rFonts w:ascii="仿宋" w:hAnsi="仿宋" w:eastAsia="仿宋" w:cs="仿宋_GB2312"/>
          <w:spacing w:val="-6"/>
          <w:sz w:val="32"/>
          <w:szCs w:val="32"/>
        </w:rPr>
      </w:pPr>
      <w:r>
        <w:rPr>
          <w:rFonts w:hint="eastAsia" w:ascii="仿宋" w:hAnsi="仿宋" w:eastAsia="仿宋" w:cs="仿宋_GB2312"/>
          <w:spacing w:val="-6"/>
          <w:sz w:val="32"/>
          <w:szCs w:val="32"/>
        </w:rPr>
        <w:t>强化环境风险防范和应急措施。制订完善的环境管理、风险管理措施，设施配备齐全，加强相关人员培训</w:t>
      </w:r>
      <w:r>
        <w:rPr>
          <w:rFonts w:hint="eastAsia" w:ascii="仿宋" w:hAnsi="仿宋" w:eastAsia="仿宋" w:cs="仿宋_GB2312"/>
          <w:color w:val="000000"/>
          <w:kern w:val="0"/>
          <w:sz w:val="32"/>
          <w:szCs w:val="32"/>
        </w:rPr>
        <w:t>。加强风险源管控，严格落实《报告表》中环境风险防范措施，</w:t>
      </w:r>
      <w:r>
        <w:rPr>
          <w:rFonts w:hint="eastAsia" w:ascii="仿宋" w:hAnsi="仿宋" w:eastAsia="仿宋" w:cs="Times New Roman"/>
          <w:color w:val="000000"/>
          <w:kern w:val="0"/>
          <w:sz w:val="32"/>
          <w:szCs w:val="32"/>
        </w:rPr>
        <w:t>编写突发环境事件应急预案、备案，</w:t>
      </w:r>
      <w:r>
        <w:rPr>
          <w:rFonts w:hint="eastAsia" w:ascii="仿宋" w:hAnsi="仿宋" w:eastAsia="仿宋" w:cs="仿宋_GB2312"/>
          <w:color w:val="000000"/>
          <w:kern w:val="0"/>
          <w:sz w:val="32"/>
          <w:szCs w:val="32"/>
        </w:rPr>
        <w:t>并与当地政府及相关部门应急预案做好衔接，定期进行应急培训和</w:t>
      </w:r>
      <w:r>
        <w:rPr>
          <w:rFonts w:hint="eastAsia" w:ascii="仿宋" w:hAnsi="仿宋" w:eastAsia="仿宋" w:cs="仿宋_GB2312"/>
          <w:spacing w:val="-6"/>
          <w:sz w:val="32"/>
          <w:szCs w:val="32"/>
        </w:rPr>
        <w:t>演练，有效防范和应对环境风险。</w:t>
      </w:r>
    </w:p>
    <w:p>
      <w:pPr>
        <w:numPr>
          <w:ilvl w:val="0"/>
          <w:numId w:val="3"/>
        </w:numPr>
        <w:adjustRightInd w:val="0"/>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认真落实《报告表》中规定的污染防治措施及清洁生产措施，项目实施后，企业须按照国家排污许可有关管理规定及时办理排污许可证。 </w:t>
      </w:r>
    </w:p>
    <w:p>
      <w:pPr>
        <w:adjustRightInd w:val="0"/>
        <w:snapToGrid w:val="0"/>
        <w:spacing w:line="560" w:lineRule="exact"/>
        <w:ind w:firstLine="640" w:firstLineChars="200"/>
        <w:rPr>
          <w:rFonts w:ascii="仿宋" w:hAnsi="仿宋" w:eastAsia="仿宋" w:cs="仿宋_GB2312"/>
          <w:spacing w:val="-6"/>
          <w:sz w:val="32"/>
          <w:szCs w:val="32"/>
        </w:rPr>
      </w:pPr>
      <w:r>
        <w:rPr>
          <w:rFonts w:ascii="仿宋" w:hAnsi="仿宋" w:eastAsia="仿宋" w:cs="宋体"/>
          <w:color w:val="000000"/>
          <w:kern w:val="0"/>
          <w:sz w:val="32"/>
          <w:szCs w:val="32"/>
        </w:rPr>
        <w:t>五、</w:t>
      </w:r>
      <w:r>
        <w:rPr>
          <w:rFonts w:hint="eastAsia" w:ascii="仿宋" w:hAnsi="仿宋" w:eastAsia="仿宋" w:cs="仿宋_GB2312"/>
          <w:spacing w:val="-6"/>
          <w:sz w:val="32"/>
          <w:szCs w:val="32"/>
        </w:rPr>
        <w:t>在项目运营过程中，应建立畅通的公众参与平台，及时解决公众关注的环境问题，满足公众合理的环境诉求。定期发布企业环境信息，主动接受社会监督。</w:t>
      </w:r>
    </w:p>
    <w:p>
      <w:pPr>
        <w:spacing w:line="560" w:lineRule="exact"/>
        <w:ind w:firstLine="616"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六、</w:t>
      </w:r>
      <w:r>
        <w:rPr>
          <w:rFonts w:ascii="仿宋" w:hAnsi="仿宋" w:eastAsia="仿宋" w:cs="Times New Roman"/>
          <w:color w:val="000000"/>
          <w:sz w:val="32"/>
          <w:szCs w:val="32"/>
          <w:shd w:val="clear" w:color="auto" w:fill="FFFFFF"/>
        </w:rPr>
        <w:t>进一步强化污染源管理工作。按照国家和地方有关规定，建设规范的污染物排放口，设立标志牌</w:t>
      </w:r>
      <w:r>
        <w:rPr>
          <w:rFonts w:hint="eastAsia" w:ascii="仿宋" w:hAnsi="仿宋" w:eastAsia="仿宋" w:cs="仿宋_GB2312"/>
          <w:spacing w:val="-6"/>
          <w:sz w:val="32"/>
          <w:szCs w:val="32"/>
        </w:rPr>
        <w:t>。</w:t>
      </w:r>
      <w:r>
        <w:rPr>
          <w:rFonts w:ascii="仿宋" w:hAnsi="仿宋" w:eastAsia="仿宋" w:cs="Times New Roman"/>
          <w:color w:val="000000"/>
          <w:sz w:val="32"/>
          <w:szCs w:val="32"/>
          <w:shd w:val="clear" w:color="auto" w:fill="FFFFFF"/>
        </w:rPr>
        <w:t>对《报告表》要求的监测内容定期开展监测，企业应按照环境监测管理规定和技术规范的要求，设计、建设、维护永久性采样口、采样测试平台。</w:t>
      </w:r>
    </w:p>
    <w:p>
      <w:pPr>
        <w:adjustRightInd w:val="0"/>
        <w:snapToGrid w:val="0"/>
        <w:spacing w:line="560" w:lineRule="exact"/>
        <w:ind w:firstLine="616"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w:t>
      </w:r>
      <w:r>
        <w:rPr>
          <w:rFonts w:hint="eastAsia" w:ascii="仿宋" w:hAnsi="仿宋" w:eastAsia="仿宋" w:cs="Times New Roman"/>
          <w:sz w:val="32"/>
          <w:szCs w:val="32"/>
        </w:rPr>
        <w:t>未经验收或者验收不合格的，不得投入生产或者使用</w:t>
      </w:r>
      <w:r>
        <w:rPr>
          <w:rFonts w:hint="eastAsia" w:ascii="仿宋" w:hAnsi="仿宋" w:eastAsia="仿宋" w:cs="Times New Roman"/>
          <w:spacing w:val="-6"/>
          <w:sz w:val="32"/>
          <w:szCs w:val="32"/>
        </w:rPr>
        <w:t>。本项目环境影响评价文件经批准后，如设计和施工变化造成工程性质、规模、工艺、防治污染的措施发生重大变动的，应当在调整前重新报批本项目环境影响评价文件。</w:t>
      </w:r>
      <w:r>
        <w:rPr>
          <w:rFonts w:hint="eastAsia" w:ascii="仿宋" w:hAnsi="仿宋" w:eastAsia="仿宋" w:cs="Times New Roman"/>
          <w:sz w:val="32"/>
          <w:szCs w:val="32"/>
        </w:rPr>
        <w:t>工程自批复之日起五年后方决定开工建设的，需将环评文件报我局重新审核。</w:t>
      </w:r>
    </w:p>
    <w:p>
      <w:pPr>
        <w:adjustRightInd w:val="0"/>
        <w:snapToGrid w:val="0"/>
        <w:spacing w:line="560" w:lineRule="exact"/>
        <w:ind w:firstLine="616" w:firstLineChars="200"/>
        <w:rPr>
          <w:rFonts w:ascii="仿宋" w:hAnsi="仿宋" w:eastAsia="仿宋" w:cs="仿宋_GB2312"/>
          <w:spacing w:val="-6"/>
          <w:sz w:val="32"/>
          <w:szCs w:val="32"/>
        </w:rPr>
      </w:pPr>
      <w:r>
        <w:rPr>
          <w:rFonts w:hint="eastAsia" w:ascii="仿宋" w:hAnsi="仿宋" w:eastAsia="仿宋" w:cs="Times New Roman"/>
          <w:spacing w:val="-6"/>
          <w:sz w:val="32"/>
          <w:szCs w:val="32"/>
        </w:rPr>
        <w:t>八、你单位在接到本批复后的10个工作日内，须将环评报告表及其批复送秦皇岛市生态环境局</w:t>
      </w:r>
      <w:r>
        <w:rPr>
          <w:rFonts w:ascii="仿宋" w:hAnsi="仿宋" w:eastAsia="仿宋" w:cs="Times New Roman"/>
          <w:spacing w:val="-6"/>
          <w:sz w:val="32"/>
          <w:szCs w:val="32"/>
        </w:rPr>
        <w:t>青龙满族自治县</w:t>
      </w:r>
      <w:r>
        <w:rPr>
          <w:rFonts w:hint="eastAsia" w:ascii="仿宋" w:hAnsi="仿宋" w:eastAsia="仿宋" w:cs="Times New Roman"/>
          <w:spacing w:val="-6"/>
          <w:sz w:val="32"/>
          <w:szCs w:val="32"/>
        </w:rPr>
        <w:t>分局、资规局等相关部门，日常监督管理由秦皇岛市生态环境局</w:t>
      </w:r>
      <w:r>
        <w:rPr>
          <w:rFonts w:ascii="仿宋" w:hAnsi="仿宋" w:eastAsia="仿宋" w:cs="Times New Roman"/>
          <w:spacing w:val="-6"/>
          <w:sz w:val="32"/>
          <w:szCs w:val="32"/>
        </w:rPr>
        <w:t>青龙满族自治县</w:t>
      </w:r>
      <w:r>
        <w:rPr>
          <w:rFonts w:hint="eastAsia" w:ascii="仿宋" w:hAnsi="仿宋" w:eastAsia="仿宋" w:cs="Times New Roman"/>
          <w:spacing w:val="-6"/>
          <w:sz w:val="32"/>
          <w:szCs w:val="32"/>
        </w:rPr>
        <w:t>分局负责。建设单位须定期向秦皇岛市生态环境局</w:t>
      </w:r>
      <w:r>
        <w:rPr>
          <w:rFonts w:ascii="仿宋" w:hAnsi="仿宋" w:eastAsia="仿宋" w:cs="Times New Roman"/>
          <w:spacing w:val="-6"/>
          <w:sz w:val="32"/>
          <w:szCs w:val="32"/>
        </w:rPr>
        <w:t>青龙满族自治县</w:t>
      </w:r>
      <w:r>
        <w:rPr>
          <w:rFonts w:hint="eastAsia" w:ascii="仿宋" w:hAnsi="仿宋" w:eastAsia="仿宋" w:cs="Times New Roman"/>
          <w:spacing w:val="-6"/>
          <w:sz w:val="32"/>
          <w:szCs w:val="32"/>
        </w:rPr>
        <w:t xml:space="preserve">分局报告“三同时”完成情况。并按规定接受各级生态环境行政主管部门的日常监督检查。 </w:t>
      </w:r>
    </w:p>
    <w:p>
      <w:pPr>
        <w:pStyle w:val="2"/>
        <w:rPr>
          <w:rFonts w:ascii="仿宋" w:hAnsi="仿宋" w:eastAsia="仿宋" w:cs="仿宋_GB2312"/>
          <w:spacing w:val="-6"/>
          <w:sz w:val="32"/>
          <w:szCs w:val="32"/>
        </w:rPr>
      </w:pPr>
    </w:p>
    <w:p>
      <w:pPr>
        <w:pStyle w:val="3"/>
      </w:pPr>
      <w:bookmarkStart w:id="0" w:name="_GoBack"/>
      <w:bookmarkEnd w:id="0"/>
    </w:p>
    <w:p>
      <w:pPr>
        <w:pStyle w:val="3"/>
      </w:pPr>
    </w:p>
    <w:p>
      <w:pPr>
        <w:adjustRightInd w:val="0"/>
        <w:snapToGrid w:val="0"/>
        <w:spacing w:line="560" w:lineRule="exact"/>
        <w:jc w:val="right"/>
        <w:rPr>
          <w:rFonts w:ascii="仿宋" w:hAnsi="仿宋" w:eastAsia="仿宋" w:cs="仿宋_GB2312"/>
          <w:spacing w:val="-6"/>
          <w:sz w:val="32"/>
          <w:szCs w:val="32"/>
        </w:rPr>
      </w:pPr>
      <w:r>
        <w:rPr>
          <w:rFonts w:hint="eastAsia" w:ascii="仿宋" w:hAnsi="仿宋" w:eastAsia="仿宋" w:cs="仿宋_GB2312"/>
          <w:spacing w:val="-6"/>
          <w:sz w:val="32"/>
          <w:szCs w:val="32"/>
        </w:rPr>
        <w:t xml:space="preserve">  秦皇岛市行政审批局</w:t>
      </w:r>
    </w:p>
    <w:p>
      <w:pPr>
        <w:adjustRightInd w:val="0"/>
        <w:snapToGrid w:val="0"/>
        <w:spacing w:line="560" w:lineRule="exact"/>
        <w:jc w:val="right"/>
        <w:rPr>
          <w:rFonts w:ascii="仿宋" w:hAnsi="仿宋" w:eastAsia="仿宋" w:cs="仿宋_GB2312"/>
          <w:spacing w:val="-6"/>
          <w:sz w:val="32"/>
          <w:szCs w:val="32"/>
        </w:rPr>
      </w:pPr>
      <w:r>
        <w:rPr>
          <w:rFonts w:hint="eastAsia" w:ascii="仿宋" w:hAnsi="仿宋" w:eastAsia="仿宋" w:cs="仿宋_GB2312"/>
          <w:spacing w:val="-6"/>
          <w:sz w:val="32"/>
          <w:szCs w:val="32"/>
        </w:rPr>
        <w:t xml:space="preserve">  202</w:t>
      </w:r>
      <w:r>
        <w:rPr>
          <w:rFonts w:ascii="仿宋" w:hAnsi="仿宋" w:eastAsia="仿宋" w:cs="仿宋_GB2312"/>
          <w:spacing w:val="-6"/>
          <w:sz w:val="32"/>
          <w:szCs w:val="32"/>
        </w:rPr>
        <w:t>2</w:t>
      </w:r>
      <w:r>
        <w:rPr>
          <w:rFonts w:hint="eastAsia" w:ascii="仿宋" w:hAnsi="仿宋" w:eastAsia="仿宋" w:cs="仿宋_GB2312"/>
          <w:spacing w:val="-6"/>
          <w:sz w:val="32"/>
          <w:szCs w:val="32"/>
        </w:rPr>
        <w:t>年</w:t>
      </w:r>
      <w:r>
        <w:rPr>
          <w:rFonts w:ascii="仿宋" w:hAnsi="仿宋" w:eastAsia="仿宋" w:cs="仿宋_GB2312"/>
          <w:spacing w:val="-6"/>
          <w:sz w:val="32"/>
          <w:szCs w:val="32"/>
        </w:rPr>
        <w:t>2</w:t>
      </w:r>
      <w:r>
        <w:rPr>
          <w:rFonts w:hint="eastAsia" w:ascii="仿宋" w:hAnsi="仿宋" w:eastAsia="仿宋" w:cs="仿宋_GB2312"/>
          <w:spacing w:val="-6"/>
          <w:sz w:val="32"/>
          <w:szCs w:val="32"/>
        </w:rPr>
        <w:t>月</w:t>
      </w:r>
      <w:r>
        <w:rPr>
          <w:rFonts w:ascii="仿宋" w:hAnsi="仿宋" w:eastAsia="仿宋" w:cs="仿宋_GB2312"/>
          <w:spacing w:val="-6"/>
          <w:sz w:val="32"/>
          <w:szCs w:val="32"/>
        </w:rPr>
        <w:t>1</w:t>
      </w:r>
      <w:r>
        <w:rPr>
          <w:rFonts w:hint="default" w:ascii="仿宋" w:hAnsi="仿宋" w:eastAsia="仿宋" w:cs="仿宋_GB2312"/>
          <w:spacing w:val="-6"/>
          <w:sz w:val="32"/>
          <w:szCs w:val="32"/>
        </w:rPr>
        <w:t>5</w:t>
      </w:r>
      <w:r>
        <w:rPr>
          <w:rFonts w:hint="eastAsia" w:ascii="仿宋" w:hAnsi="仿宋" w:eastAsia="仿宋" w:cs="仿宋_GB2312"/>
          <w:spacing w:val="-6"/>
          <w:sz w:val="32"/>
          <w:szCs w:val="32"/>
        </w:rPr>
        <w:t>日</w:t>
      </w:r>
    </w:p>
    <w:p>
      <w:pPr>
        <w:spacing w:line="560" w:lineRule="exact"/>
        <w:rPr>
          <w:rFonts w:ascii="仿宋" w:hAnsi="仿宋" w:eastAsia="仿宋"/>
        </w:rPr>
      </w:pPr>
    </w:p>
    <w:sectPr>
      <w:footerReference r:id="rId3" w:type="default"/>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0F26"/>
    <w:multiLevelType w:val="multilevel"/>
    <w:tmpl w:val="38210F2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DA7625E"/>
    <w:multiLevelType w:val="multilevel"/>
    <w:tmpl w:val="3DA7625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4A16143"/>
    <w:multiLevelType w:val="multilevel"/>
    <w:tmpl w:val="54A16143"/>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4647"/>
    <w:rsid w:val="001519D4"/>
    <w:rsid w:val="00534647"/>
    <w:rsid w:val="007E0A00"/>
    <w:rsid w:val="009438B1"/>
    <w:rsid w:val="00B5472D"/>
    <w:rsid w:val="00BF4DC7"/>
    <w:rsid w:val="00DB0DED"/>
    <w:rsid w:val="00DF524E"/>
    <w:rsid w:val="00E54630"/>
    <w:rsid w:val="026C13BF"/>
    <w:rsid w:val="047D0429"/>
    <w:rsid w:val="05070CB7"/>
    <w:rsid w:val="08251D3B"/>
    <w:rsid w:val="09DD006C"/>
    <w:rsid w:val="0DB60FD4"/>
    <w:rsid w:val="0E23319F"/>
    <w:rsid w:val="0E544884"/>
    <w:rsid w:val="0E9A6529"/>
    <w:rsid w:val="0F243ABA"/>
    <w:rsid w:val="11047D69"/>
    <w:rsid w:val="11B64EE8"/>
    <w:rsid w:val="134F78C3"/>
    <w:rsid w:val="16B259FD"/>
    <w:rsid w:val="16FE7E29"/>
    <w:rsid w:val="19C76AA2"/>
    <w:rsid w:val="1ABB2361"/>
    <w:rsid w:val="1B3C80C5"/>
    <w:rsid w:val="1DB05E93"/>
    <w:rsid w:val="1F7F375F"/>
    <w:rsid w:val="1FFD7A61"/>
    <w:rsid w:val="211E5769"/>
    <w:rsid w:val="213E1E2E"/>
    <w:rsid w:val="22186EB3"/>
    <w:rsid w:val="23E0603F"/>
    <w:rsid w:val="24333E8B"/>
    <w:rsid w:val="24496731"/>
    <w:rsid w:val="24822F7E"/>
    <w:rsid w:val="24E07A09"/>
    <w:rsid w:val="25481967"/>
    <w:rsid w:val="26452102"/>
    <w:rsid w:val="26D3084E"/>
    <w:rsid w:val="27CDA4FE"/>
    <w:rsid w:val="290C1FD9"/>
    <w:rsid w:val="2CED5224"/>
    <w:rsid w:val="2DAF126F"/>
    <w:rsid w:val="31A86955"/>
    <w:rsid w:val="336EA4DC"/>
    <w:rsid w:val="33824DF5"/>
    <w:rsid w:val="33BD8880"/>
    <w:rsid w:val="347C50C9"/>
    <w:rsid w:val="35D70A87"/>
    <w:rsid w:val="374D153F"/>
    <w:rsid w:val="38ED4A8D"/>
    <w:rsid w:val="39D74A49"/>
    <w:rsid w:val="39FEB804"/>
    <w:rsid w:val="3BFF7C85"/>
    <w:rsid w:val="3C8DE232"/>
    <w:rsid w:val="3D715C36"/>
    <w:rsid w:val="3DEB59B9"/>
    <w:rsid w:val="3EDA434E"/>
    <w:rsid w:val="402537B3"/>
    <w:rsid w:val="441F65D2"/>
    <w:rsid w:val="45ED32A4"/>
    <w:rsid w:val="46F770C6"/>
    <w:rsid w:val="47C4D8B8"/>
    <w:rsid w:val="4961192A"/>
    <w:rsid w:val="4A9B0782"/>
    <w:rsid w:val="4AB62107"/>
    <w:rsid w:val="4B4355E5"/>
    <w:rsid w:val="4B514EDA"/>
    <w:rsid w:val="4B765E80"/>
    <w:rsid w:val="4D010EEB"/>
    <w:rsid w:val="4D5CA1F1"/>
    <w:rsid w:val="51F46A5E"/>
    <w:rsid w:val="52E60454"/>
    <w:rsid w:val="52F277D3"/>
    <w:rsid w:val="53650405"/>
    <w:rsid w:val="55111814"/>
    <w:rsid w:val="56950707"/>
    <w:rsid w:val="56AED9A3"/>
    <w:rsid w:val="57DA211C"/>
    <w:rsid w:val="57F71DCD"/>
    <w:rsid w:val="5886351F"/>
    <w:rsid w:val="58DC437F"/>
    <w:rsid w:val="590E0E11"/>
    <w:rsid w:val="5A22466C"/>
    <w:rsid w:val="5A2D6F47"/>
    <w:rsid w:val="5A9C6788"/>
    <w:rsid w:val="5AE9060E"/>
    <w:rsid w:val="5B314F17"/>
    <w:rsid w:val="5BFA3674"/>
    <w:rsid w:val="5C92C4F6"/>
    <w:rsid w:val="5EE4D61D"/>
    <w:rsid w:val="5FA728A7"/>
    <w:rsid w:val="60DB398B"/>
    <w:rsid w:val="62AA67D1"/>
    <w:rsid w:val="62B4457F"/>
    <w:rsid w:val="66892A14"/>
    <w:rsid w:val="66A76F78"/>
    <w:rsid w:val="695609FE"/>
    <w:rsid w:val="6A0018D3"/>
    <w:rsid w:val="6AFBE2FD"/>
    <w:rsid w:val="6BF6F70B"/>
    <w:rsid w:val="6CE5B2CA"/>
    <w:rsid w:val="6DEFBE8D"/>
    <w:rsid w:val="6E972B5D"/>
    <w:rsid w:val="6EF65CFD"/>
    <w:rsid w:val="6F7FE027"/>
    <w:rsid w:val="6FA92E43"/>
    <w:rsid w:val="6FFA6EFF"/>
    <w:rsid w:val="6FFE4025"/>
    <w:rsid w:val="6FFF7D63"/>
    <w:rsid w:val="6FFFD07D"/>
    <w:rsid w:val="73426669"/>
    <w:rsid w:val="736875DA"/>
    <w:rsid w:val="736E6677"/>
    <w:rsid w:val="74AD223F"/>
    <w:rsid w:val="76C4DCB4"/>
    <w:rsid w:val="77C565E0"/>
    <w:rsid w:val="77ED1F29"/>
    <w:rsid w:val="77FEA771"/>
    <w:rsid w:val="77FFCAF9"/>
    <w:rsid w:val="7ADD4C29"/>
    <w:rsid w:val="7AFE2822"/>
    <w:rsid w:val="7B7C2B32"/>
    <w:rsid w:val="7CBF2C38"/>
    <w:rsid w:val="7D5F4119"/>
    <w:rsid w:val="7DEFD3C4"/>
    <w:rsid w:val="7E53808C"/>
    <w:rsid w:val="7EA7853F"/>
    <w:rsid w:val="7EDB1951"/>
    <w:rsid w:val="7EE9F22B"/>
    <w:rsid w:val="7EFF68B1"/>
    <w:rsid w:val="7F7B5AA1"/>
    <w:rsid w:val="7FFD93AA"/>
    <w:rsid w:val="7FFF040F"/>
    <w:rsid w:val="93DE4D53"/>
    <w:rsid w:val="954FE1F4"/>
    <w:rsid w:val="97EF0570"/>
    <w:rsid w:val="9EBE6894"/>
    <w:rsid w:val="A7FE46DD"/>
    <w:rsid w:val="B71EE1DE"/>
    <w:rsid w:val="BADF173F"/>
    <w:rsid w:val="BEFDF0D2"/>
    <w:rsid w:val="BFF3702B"/>
    <w:rsid w:val="BFF6C44B"/>
    <w:rsid w:val="BFFB1580"/>
    <w:rsid w:val="BFFBE771"/>
    <w:rsid w:val="C5C1AB2E"/>
    <w:rsid w:val="CC7D3A4E"/>
    <w:rsid w:val="CEFF0ECB"/>
    <w:rsid w:val="D57FEA81"/>
    <w:rsid w:val="DB76542E"/>
    <w:rsid w:val="DBE5F7EA"/>
    <w:rsid w:val="DDED9019"/>
    <w:rsid w:val="DF9B8CEE"/>
    <w:rsid w:val="DF9F197B"/>
    <w:rsid w:val="DFEDBDD6"/>
    <w:rsid w:val="EBABD82E"/>
    <w:rsid w:val="EDFFE3AA"/>
    <w:rsid w:val="EE7779B9"/>
    <w:rsid w:val="EFFF7259"/>
    <w:rsid w:val="F175C4DB"/>
    <w:rsid w:val="F767AC69"/>
    <w:rsid w:val="F77E40F3"/>
    <w:rsid w:val="F7AF9FCD"/>
    <w:rsid w:val="FA9FE879"/>
    <w:rsid w:val="FBEF61BC"/>
    <w:rsid w:val="FBEFD815"/>
    <w:rsid w:val="FBF761D0"/>
    <w:rsid w:val="FBFBA45E"/>
    <w:rsid w:val="FBFD7645"/>
    <w:rsid w:val="FCBFABA4"/>
    <w:rsid w:val="FDAB0972"/>
    <w:rsid w:val="FDDFE70E"/>
    <w:rsid w:val="FDEB7BD9"/>
    <w:rsid w:val="FDEE1007"/>
    <w:rsid w:val="FEBBDE0C"/>
    <w:rsid w:val="FEBFBB84"/>
    <w:rsid w:val="FF3A03EC"/>
    <w:rsid w:val="FF7E06D1"/>
    <w:rsid w:val="FFBFA020"/>
    <w:rsid w:val="FFD65C21"/>
    <w:rsid w:val="FFDAA79E"/>
    <w:rsid w:val="FFFD9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360" w:lineRule="auto"/>
    </w:pPr>
    <w:rPr>
      <w:sz w:val="24"/>
    </w:rPr>
  </w:style>
  <w:style w:type="paragraph" w:styleId="3">
    <w:name w:val="toc 1"/>
    <w:basedOn w:val="1"/>
    <w:next w:val="1"/>
    <w:semiHidden/>
    <w:qFormat/>
    <w:uiPriority w:val="0"/>
    <w:pPr>
      <w:adjustRightInd w:val="0"/>
      <w:snapToGrid w:val="0"/>
      <w:spacing w:line="280" w:lineRule="exact"/>
      <w:jc w:val="center"/>
    </w:pPr>
    <w:rPr>
      <w:sz w:val="24"/>
      <w:szCs w:val="20"/>
    </w:rPr>
  </w:style>
  <w:style w:type="paragraph" w:styleId="4">
    <w:name w:val="Document Map"/>
    <w:basedOn w:val="1"/>
    <w:link w:val="14"/>
    <w:semiHidden/>
    <w:unhideWhenUsed/>
    <w:qFormat/>
    <w:uiPriority w:val="99"/>
    <w:rPr>
      <w:rFonts w:ascii="宋体" w:eastAsia="宋体"/>
      <w:sz w:val="18"/>
      <w:szCs w:val="18"/>
    </w:rPr>
  </w:style>
  <w:style w:type="paragraph" w:styleId="5">
    <w:name w:val="Body Text"/>
    <w:basedOn w:val="1"/>
    <w:next w:val="6"/>
    <w:qFormat/>
    <w:uiPriority w:val="0"/>
    <w:pPr>
      <w:spacing w:line="240" w:lineRule="atLeast"/>
    </w:pPr>
    <w:rPr>
      <w:sz w:val="28"/>
    </w:rPr>
  </w:style>
  <w:style w:type="paragraph" w:customStyle="1" w:styleId="6">
    <w:name w:val="默认段落"/>
    <w:qFormat/>
    <w:uiPriority w:val="0"/>
    <w:pPr>
      <w:widowControl w:val="0"/>
      <w:jc w:val="both"/>
    </w:pPr>
    <w:rPr>
      <w:rFonts w:ascii="Calibri" w:hAnsi="Calibri" w:eastAsia="宋体" w:cs="Times New Roman"/>
      <w:kern w:val="2"/>
      <w:sz w:val="21"/>
      <w:lang w:val="en-US" w:eastAsia="zh-CN" w:bidi="ar-SA"/>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5"/>
    <w:qFormat/>
    <w:uiPriority w:val="0"/>
    <w:pPr>
      <w:spacing w:after="120"/>
      <w:ind w:firstLine="420" w:firstLineChars="100"/>
    </w:pPr>
    <w:rPr>
      <w:sz w:val="21"/>
      <w:szCs w:val="24"/>
    </w:rPr>
  </w:style>
  <w:style w:type="paragraph" w:customStyle="1" w:styleId="12">
    <w:name w:val="Default"/>
    <w:basedOn w:val="13"/>
    <w:qFormat/>
    <w:uiPriority w:val="0"/>
    <w:pPr>
      <w:widowControl w:val="0"/>
      <w:autoSpaceDE w:val="0"/>
      <w:autoSpaceDN w:val="0"/>
      <w:adjustRightInd w:val="0"/>
    </w:pPr>
    <w:rPr>
      <w:color w:val="000000"/>
      <w:sz w:val="24"/>
    </w:rPr>
  </w:style>
  <w:style w:type="paragraph" w:customStyle="1" w:styleId="1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4">
    <w:name w:val="文档结构图 Char"/>
    <w:basedOn w:val="11"/>
    <w:link w:val="4"/>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562</Words>
  <Characters>3206</Characters>
  <Lines>26</Lines>
  <Paragraphs>7</Paragraphs>
  <TotalTime>2</TotalTime>
  <ScaleCrop>false</ScaleCrop>
  <LinksUpToDate>false</LinksUpToDate>
  <CharactersWithSpaces>3761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2021-03-27T01:03:00Z</dcterms:created>
  <dc:creator>w's'd</dc:creator>
  <cp:lastModifiedBy>administrator</cp:lastModifiedBy>
  <cp:lastPrinted>2022-02-15T14:14:25Z</cp:lastPrinted>
  <dcterms:modified xsi:type="dcterms:W3CDTF">2022-02-15T14:17:31Z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