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560" w:lineRule="exact"/>
        <w:rPr>
          <w:rFonts w:ascii="Times New Roman" w:cs="宋体" w:hAnsi="Times New Roman"/>
          <w:color w:val="000000"/>
          <w:sz w:val="32"/>
          <w:szCs w:val="32"/>
        </w:rPr>
      </w:pPr>
      <w:r>
        <w:rPr>
          <w:rFonts w:ascii="Times New Roman" w:cs="宋体" w:hAnsi="Times New Roman" w:hint="eastAsia"/>
          <w:color w:val="000000"/>
          <w:sz w:val="32"/>
          <w:szCs w:val="32"/>
        </w:rPr>
        <w:t xml:space="preserve"> </w:t>
      </w:r>
    </w:p>
    <w:p>
      <w:pPr>
        <w:wordWrap w:val="0"/>
        <w:spacing w:beforeLines="50" w:before="158" w:line="700" w:lineRule="exact"/>
        <w:jc w:val="right"/>
        <w:rPr>
          <w:rFonts w:ascii="Times New Roman" w:cs="宋体" w:hAnsi="Times New Roman"/>
          <w:color w:val="000000"/>
          <w:sz w:val="32"/>
          <w:szCs w:val="32"/>
        </w:rPr>
      </w:pPr>
      <w:r>
        <w:rPr>
          <w:rFonts w:ascii="Times New Roman" w:eastAsia="仿宋_GB2312" w:cs="仿宋_GB2312" w:hAnsi="Times New Roman" w:hint="eastAsia"/>
          <w:color w:val="000000"/>
          <w:sz w:val="32"/>
          <w:szCs w:val="32"/>
        </w:rPr>
        <w:t xml:space="preserve"> 秦审批</w:t>
      </w:r>
      <w:bookmarkStart w:id="0" w:name="_GoBack"/>
      <w:bookmarkEnd w:id="0"/>
      <w:r>
        <w:rPr>
          <w:rFonts w:ascii="Times New Roman" w:eastAsia="仿宋_GB2312" w:cs="仿宋_GB2312" w:hAnsi="Times New Roman" w:hint="eastAsia"/>
          <w:color w:val="000000"/>
          <w:sz w:val="32"/>
          <w:szCs w:val="32"/>
        </w:rPr>
        <w:t>环准许〔202</w:t>
      </w:r>
      <w:r>
        <w:rPr>
          <w:rFonts w:ascii="Times New Roman" w:eastAsia="仿宋_GB2312" w:cs="仿宋_GB2312" w:hAnsi="Times New Roman"/>
          <w:color w:val="000000"/>
          <w:sz w:val="32"/>
          <w:szCs w:val="32"/>
        </w:rPr>
        <w:t>2</w:t>
      </w:r>
      <w:r>
        <w:rPr>
          <w:rFonts w:ascii="Times New Roman" w:eastAsia="仿宋_GB2312" w:cs="仿宋_GB2312" w:hAnsi="Times New Roman" w:hint="eastAsia"/>
          <w:color w:val="000000"/>
          <w:sz w:val="32"/>
          <w:szCs w:val="32"/>
        </w:rPr>
        <w:t>〕0</w:t>
      </w:r>
      <w:r>
        <w:rPr>
          <w:rFonts w:ascii="Times New Roman" w:eastAsia="仿宋_GB2312" w:cs="仿宋_GB2312" w:hAnsi="Times New Roman" w:hint="eastAsia"/>
          <w:color w:val="000000"/>
          <w:sz w:val="32"/>
          <w:szCs w:val="32"/>
          <w:lang w:val="en-US" w:eastAsia="zh-CN"/>
        </w:rPr>
        <w:t>2</w:t>
      </w:r>
      <w:r>
        <w:rPr>
          <w:rFonts w:ascii="Times New Roman" w:eastAsia="仿宋_GB2312" w:cs="仿宋_GB2312" w:hAnsi="Times New Roman" w:hint="eastAsia"/>
          <w:color w:val="000000"/>
          <w:sz w:val="32"/>
          <w:szCs w:val="32"/>
        </w:rPr>
        <w:t>-00</w:t>
      </w:r>
      <w:r>
        <w:rPr>
          <w:rFonts w:ascii="Times New Roman" w:eastAsia="仿宋_GB2312" w:cs="仿宋_GB2312" w:hAnsi="Times New Roman"/>
          <w:color w:val="000000"/>
          <w:sz w:val="32"/>
          <w:szCs w:val="32"/>
          <w:lang w:val="en-US" w:eastAsia="zh-CN"/>
        </w:rPr>
        <w:t>01</w:t>
      </w:r>
      <w:r>
        <w:rPr>
          <w:rFonts w:ascii="Times New Roman" w:eastAsia="仿宋_GB2312" w:cs="仿宋_GB2312" w:hAnsi="Times New Roman" w:hint="eastAsia"/>
          <w:color w:val="000000"/>
          <w:sz w:val="32"/>
          <w:szCs w:val="32"/>
        </w:rPr>
        <w:t>号</w:t>
      </w:r>
      <w:r>
        <w:rPr>
          <w:rFonts w:ascii="Times New Roman" w:cs="宋体" w:hAnsi="Times New Roman" w:hint="eastAsia"/>
          <w:color w:val="000000"/>
          <w:sz w:val="32"/>
          <w:szCs w:val="32"/>
        </w:rPr>
        <w:t xml:space="preserve"> </w:t>
      </w:r>
    </w:p>
    <w:p>
      <w:pPr>
        <w:spacing w:line="560" w:lineRule="exact"/>
        <w:jc w:val="center"/>
        <w:rPr>
          <w:rFonts w:ascii="宋体" w:cs="宋体"/>
          <w:b/>
          <w:bCs/>
          <w:color w:val="000000"/>
          <w:kern w:val="0"/>
          <w:sz w:val="44"/>
          <w:szCs w:val="44"/>
          <w:shd w:val="clear" w:color="auto" w:fill="FFFFFF"/>
        </w:rPr>
      </w:pPr>
      <w:r>
        <w:rPr>
          <w:rFonts w:ascii="宋体" w:cs="宋体" w:hint="eastAsia"/>
          <w:b/>
          <w:bCs/>
          <w:color w:val="000000"/>
          <w:kern w:val="0"/>
          <w:sz w:val="44"/>
          <w:szCs w:val="44"/>
          <w:shd w:val="clear" w:color="auto" w:fill="FFFFFF"/>
        </w:rPr>
        <w:t>关于</w:t>
      </w:r>
      <w:r>
        <w:rPr>
          <w:rFonts w:ascii="宋体" w:cs="宋体"/>
          <w:b/>
          <w:bCs/>
          <w:color w:val="000000"/>
          <w:kern w:val="0"/>
          <w:sz w:val="44"/>
          <w:szCs w:val="44"/>
          <w:shd w:val="clear" w:color="auto" w:fill="FFFFFF"/>
        </w:rPr>
        <w:t>青龙满族自治县同信环保科技</w:t>
      </w:r>
      <w:r>
        <w:rPr>
          <w:rFonts w:ascii="宋体" w:cs="宋体" w:hint="eastAsia"/>
          <w:b/>
          <w:bCs/>
          <w:color w:val="000000"/>
          <w:kern w:val="0"/>
          <w:sz w:val="44"/>
          <w:szCs w:val="44"/>
          <w:shd w:val="clear" w:color="auto" w:fill="FFFFFF"/>
        </w:rPr>
        <w:t>有限公司《</w:t>
      </w:r>
      <w:r>
        <w:rPr>
          <w:rFonts w:ascii="宋体" w:cs="宋体"/>
          <w:b/>
          <w:bCs/>
          <w:color w:val="000000"/>
          <w:kern w:val="0"/>
          <w:sz w:val="44"/>
          <w:szCs w:val="44"/>
          <w:shd w:val="clear" w:color="auto" w:fill="FFFFFF"/>
        </w:rPr>
        <w:t>建筑用石料破碎加工项目</w:t>
      </w:r>
      <w:r>
        <w:rPr>
          <w:rFonts w:ascii="宋体" w:cs="宋体" w:hint="eastAsia"/>
          <w:b/>
          <w:bCs/>
          <w:color w:val="000000"/>
          <w:kern w:val="0"/>
          <w:sz w:val="44"/>
          <w:szCs w:val="44"/>
          <w:shd w:val="clear" w:color="auto" w:fill="FFFFFF"/>
        </w:rPr>
        <w:t>环境影响报告</w:t>
      </w:r>
      <w:r>
        <w:rPr>
          <w:rFonts w:ascii="宋体" w:cs="宋体" w:hint="eastAsia"/>
          <w:b/>
          <w:bCs/>
          <w:color w:val="000000"/>
          <w:kern w:val="0"/>
          <w:sz w:val="44"/>
          <w:szCs w:val="44"/>
          <w:shd w:val="clear" w:color="auto" w:fill="FFFFFF"/>
          <w:lang w:eastAsia="zh-CN"/>
        </w:rPr>
        <w:t>表</w:t>
      </w:r>
      <w:r>
        <w:rPr>
          <w:rFonts w:ascii="宋体" w:cs="宋体" w:hint="eastAsia"/>
          <w:b/>
          <w:bCs/>
          <w:color w:val="000000"/>
          <w:kern w:val="0"/>
          <w:sz w:val="44"/>
          <w:szCs w:val="44"/>
          <w:shd w:val="clear" w:color="auto" w:fill="FFFFFF"/>
        </w:rPr>
        <w:t>》的批复</w:t>
      </w:r>
    </w:p>
    <w:p>
      <w:pPr>
        <w:spacing w:line="560" w:lineRule="exact"/>
        <w:jc w:val="center"/>
        <w:rPr>
          <w:rFonts w:ascii="Times New Roman" w:eastAsia="仿宋_GB2312" w:cs="仿宋_GB2312" w:hAnsi="Times New Roman"/>
          <w:color w:val="000000"/>
          <w:kern w:val="0"/>
          <w:sz w:val="32"/>
          <w:szCs w:val="32"/>
          <w:shd w:val="clear" w:color="auto" w:fill="FFFFFF"/>
        </w:rPr>
      </w:pPr>
      <w:r>
        <w:rPr>
          <w:rFonts w:ascii="Times New Roman" w:eastAsia="方正小标宋简体" w:cs="方正小标宋简体" w:hAnsi="Times New Roman" w:hint="eastAsia"/>
          <w:color w:val="000000"/>
          <w:sz w:val="44"/>
          <w:szCs w:val="44"/>
        </w:rPr>
        <mc:AlternateContent>
          <mc:Choice Requires="wps">
            <w:drawing>
              <wp:anchor distT="0" distB="0" distL="114298" distR="114298" simplePos="0" relativeHeight="15" behindDoc="0" locked="0" layoutInCell="0" hidden="1" allowOverlap="1">
                <wp:simplePos x="0" y="0"/>
                <wp:positionH relativeFrom="page">
                  <wp:posOffset>735965</wp:posOffset>
                </wp:positionH>
                <wp:positionV relativeFrom="page">
                  <wp:posOffset>9937115</wp:posOffset>
                </wp:positionV>
                <wp:extent cx="6083935" cy="951"/>
                <wp:effectExtent l="0" t="0" r="0" b="0"/>
                <wp:wrapTopAndBottom/>
                <wp:docPr id="7" name="直接连接符 3" hidden="1"/>
                <wp:cNvGraphicFramePr>
                  <a:graphicFrameLocks noChangeAspect="0"/>
                </wp:cNvGraphicFramePr>
                <a:graphic>
                  <a:graphicData uri="http://schemas.microsoft.com/office/word/2010/wordprocessingShape">
                    <wps:wsp>
                      <wps:cNvSpPr/>
                      <wps:spPr>
                        <a:xfrm rot="0">
                          <a:off x="0" y="0"/>
                          <a:ext cx="6083935" cy="951"/>
                        </a:xfrm>
                        <a:prstGeom prst="line"/>
                        <a:noFill/>
                        <a:ln w="69850" cmpd="thinThick" cap="flat">
                          <a:solidFill>
                            <a:srgbClr val="FF0000"/>
                          </a:solidFill>
                          <a:prstDash val="solid"/>
                          <a:round/>
                        </a:ln>
                      </wps:spPr>
                      <wps:bodyPr vert="horz" wrap="square" lIns="91440" tIns="45720" rIns="91440" bIns="45720" anchor="t" anchorCtr="0" upright="1">
                        <a:noAutofit/>
                      </wps:bodyPr>
                    </wps:wsp>
                  </a:graphicData>
                </a:graphic>
              </wp:anchor>
            </w:drawing>
          </mc:Choice>
          <mc:Fallback>
            <w:pict>
              <v:line type="#_x0000_t20" id="直接连接符 3 8" o:spid="_x0000_s8" from="57.95pt,782.45pt" to="537.0pt,782.5249pt" filled="f" stroked="t" strokeweight="5.5pt" o:allowincell="f" style="position:absolute;z-index:15;mso-position-horizontal:absolute;mso-position-horizontal-relative:page;mso-position-vertical:absolute;mso-position-vertical-relative:page;mso-wrap-distance-left:8.999863pt;mso-wrap-distance-right:8.999863pt;visibility:hidden;">
                <v:stroke linestyle="thinThick" color="#FF0000"/>
                <w10:wrap type="topAndBottom"/>
              </v:line>
            </w:pict>
          </mc:Fallback>
        </mc:AlternateContent>
      </w:r>
      <w:r>
        <w:rPr>
          <w:rFonts w:ascii="Times New Roman" w:eastAsia="方正小标宋简体" w:cs="方正小标宋简体" w:hAnsi="Times New Roman" w:hint="eastAsia"/>
          <w:color w:val="000000"/>
          <w:sz w:val="44"/>
          <w:szCs w:val="44"/>
        </w:rPr>
        <mc:AlternateContent>
          <mc:Choice Requires="wps">
            <w:drawing>
              <wp:anchor distT="0" distB="0" distL="114298" distR="114298" simplePos="0" relativeHeight="19" behindDoc="0" locked="0" layoutInCell="0" hidden="1" allowOverlap="1">
                <wp:simplePos x="0" y="0"/>
                <wp:positionH relativeFrom="column">
                  <wp:posOffset>-274955</wp:posOffset>
                </wp:positionH>
                <wp:positionV relativeFrom="margin">
                  <wp:posOffset>445770</wp:posOffset>
                </wp:positionV>
                <wp:extent cx="6083935" cy="952"/>
                <wp:effectExtent l="0" t="0" r="0" b="0"/>
                <wp:wrapTopAndBottom/>
                <wp:docPr id="9" name="直接连接符 4" hidden="1"/>
                <wp:cNvGraphicFramePr>
                  <a:graphicFrameLocks noChangeAspect="0"/>
                </wp:cNvGraphicFramePr>
                <a:graphic>
                  <a:graphicData uri="http://schemas.microsoft.com/office/word/2010/wordprocessingShape">
                    <wps:wsp>
                      <wps:cNvSpPr/>
                      <wps:spPr>
                        <a:xfrm rot="0">
                          <a:off x="0" y="0"/>
                          <a:ext cx="6083935" cy="952"/>
                        </a:xfrm>
                        <a:prstGeom prst="line"/>
                        <a:noFill/>
                        <a:ln w="69850" cmpd="thickThin" cap="flat">
                          <a:solidFill>
                            <a:srgbClr val="FF0000"/>
                          </a:solidFill>
                          <a:prstDash val="solid"/>
                          <a:round/>
                        </a:ln>
                      </wps:spPr>
                      <wps:bodyPr vert="horz" wrap="square" lIns="91440" tIns="45720" rIns="91440" bIns="45720" anchor="t" anchorCtr="0" upright="1">
                        <a:noAutofit/>
                      </wps:bodyPr>
                    </wps:wsp>
                  </a:graphicData>
                </a:graphic>
              </wp:anchor>
            </w:drawing>
          </mc:Choice>
          <mc:Fallback>
            <w:pict>
              <v:line type="#_x0000_t20" id="直接连接符 4 10" o:spid="_x0000_s10" from="-21.65pt,35.1pt" to="457.40002pt,35.17499pt" filled="f" stroked="t" strokeweight="5.5pt" o:allowincell="f" style="position:absolute;z-index:19;mso-position-horizontal:absolute;mso-position-vertical:absolute;mso-position-vertical-relative:margin;mso-wrap-distance-left:8.999863pt;mso-wrap-distance-right:8.999863pt;visibility:hidden;">
                <v:stroke linestyle="thickThin" color="#FF0000"/>
                <w10:wrap type="topAndBottom"/>
              </v:line>
            </w:pict>
          </mc:Fallback>
        </mc:AlternateContent>
      </w:r>
    </w:p>
    <w:p>
      <w:pPr>
        <w:keepNext w:val="0"/>
        <w:keepLines w:val="0"/>
        <w:pageBreakBefore w:val="0"/>
        <w:widowControl w:val="0"/>
        <w:kinsoku/>
        <w:wordWrap/>
        <w:overflowPunct/>
        <w:topLinePunct w:val="0"/>
        <w:autoSpaceDE w:val="0"/>
        <w:autoSpaceDN w:val="0"/>
        <w:bidi w:val="0"/>
        <w:adjustRightInd w:val="0"/>
        <w:snapToGrid w:val="0"/>
        <w:spacing w:line="560" w:lineRule="exact"/>
        <w:textAlignment w:val="auto"/>
        <w:rPr>
          <w:rFonts w:ascii="仿宋_GB2312" w:eastAsia="仿宋_GB2312" w:cs="仿宋_GB2312"/>
          <w:color w:val="000000"/>
          <w:spacing w:val="0"/>
          <w:kern w:val="0"/>
          <w:sz w:val="32"/>
          <w:szCs w:val="32"/>
          <w:shd w:val="clear" w:color="auto" w:fill="FFFFFF"/>
        </w:rPr>
      </w:pPr>
      <w:r>
        <w:rPr>
          <w:rFonts w:ascii="仿宋_GB2312" w:eastAsia="仿宋_GB2312" w:cs="仿宋_GB2312"/>
          <w:color w:val="000000"/>
          <w:spacing w:val="0"/>
          <w:kern w:val="0"/>
          <w:sz w:val="32"/>
          <w:szCs w:val="32"/>
          <w:shd w:val="clear" w:color="auto" w:fill="FFFFFF"/>
        </w:rPr>
        <w:t>青龙满族自治县同信环保科技</w:t>
      </w:r>
      <w:r>
        <w:rPr>
          <w:rFonts w:ascii="仿宋_GB2312" w:eastAsia="仿宋_GB2312" w:cs="仿宋_GB2312" w:hint="eastAsia"/>
          <w:color w:val="000000"/>
          <w:spacing w:val="0"/>
          <w:kern w:val="0"/>
          <w:sz w:val="32"/>
          <w:szCs w:val="32"/>
          <w:shd w:val="clear" w:color="auto" w:fill="FFFFFF"/>
        </w:rPr>
        <w:t>有限公司：</w:t>
      </w:r>
    </w:p>
    <w:p>
      <w:pPr>
        <w:keepNext w:val="0"/>
        <w:keepLines w:val="0"/>
        <w:pageBreakBefore w:val="0"/>
        <w:widowControl w:val="0"/>
        <w:kinsoku/>
        <w:wordWrap/>
        <w:overflowPunct/>
        <w:topLinePunct w:val="0"/>
        <w:bidi w:val="0"/>
        <w:adjustRightInd w:val="0"/>
        <w:snapToGrid w:val="0"/>
        <w:spacing w:line="560" w:lineRule="exact"/>
        <w:ind w:firstLineChars="200" w:firstLine="640"/>
        <w:textAlignment w:val="auto"/>
        <w:rPr>
          <w:rFonts w:ascii="仿宋_GB2312" w:eastAsia="仿宋_GB2312" w:cs="仿宋_GB2312"/>
          <w:color w:val="000000"/>
          <w:spacing w:val="0"/>
          <w:kern w:val="0"/>
          <w:sz w:val="32"/>
          <w:szCs w:val="32"/>
          <w:shd w:val="clear" w:color="auto" w:fill="FFFFFF"/>
        </w:rPr>
      </w:pPr>
      <w:r>
        <w:rPr>
          <w:rFonts w:ascii="仿宋_GB2312" w:eastAsia="仿宋_GB2312" w:cs="仿宋_GB2312" w:hint="eastAsia"/>
          <w:color w:val="000000"/>
          <w:spacing w:val="0"/>
          <w:kern w:val="0"/>
          <w:sz w:val="32"/>
          <w:szCs w:val="32"/>
          <w:shd w:val="clear" w:color="auto" w:fill="FFFFFF"/>
        </w:rPr>
        <w:t>所报《</w:t>
      </w:r>
      <w:r>
        <w:rPr>
          <w:rFonts w:ascii="仿宋_GB2312" w:eastAsia="仿宋_GB2312" w:cs="仿宋_GB2312"/>
          <w:color w:val="000000"/>
          <w:spacing w:val="0"/>
          <w:kern w:val="0"/>
          <w:sz w:val="32"/>
          <w:szCs w:val="32"/>
          <w:shd w:val="clear" w:color="auto" w:fill="FFFFFF"/>
        </w:rPr>
        <w:t>建筑用石料破碎加工项目</w:t>
      </w:r>
      <w:r>
        <w:rPr>
          <w:rFonts w:ascii="仿宋_GB2312" w:eastAsia="仿宋_GB2312" w:cs="仿宋_GB2312" w:hint="eastAsia"/>
          <w:color w:val="000000"/>
          <w:spacing w:val="0"/>
          <w:kern w:val="0"/>
          <w:sz w:val="32"/>
          <w:szCs w:val="32"/>
          <w:shd w:val="clear" w:color="auto" w:fill="FFFFFF"/>
        </w:rPr>
        <w:t>环境影响报告</w:t>
      </w:r>
      <w:r>
        <w:rPr>
          <w:rFonts w:ascii="仿宋_GB2312" w:eastAsia="仿宋_GB2312" w:cs="仿宋_GB2312" w:hint="eastAsia"/>
          <w:color w:val="000000"/>
          <w:spacing w:val="0"/>
          <w:kern w:val="0"/>
          <w:sz w:val="32"/>
          <w:szCs w:val="32"/>
          <w:shd w:val="clear" w:color="auto" w:fill="FFFFFF"/>
          <w:lang w:eastAsia="zh-CN"/>
        </w:rPr>
        <w:t>表</w:t>
      </w:r>
      <w:r>
        <w:rPr>
          <w:rFonts w:ascii="仿宋_GB2312" w:eastAsia="仿宋_GB2312" w:cs="仿宋_GB2312" w:hint="eastAsia"/>
          <w:color w:val="000000"/>
          <w:spacing w:val="0"/>
          <w:kern w:val="0"/>
          <w:sz w:val="32"/>
          <w:szCs w:val="32"/>
          <w:shd w:val="clear" w:color="auto" w:fill="FFFFFF"/>
        </w:rPr>
        <w:t>》(以下简称《报告</w:t>
      </w:r>
      <w:r>
        <w:rPr>
          <w:rFonts w:ascii="仿宋_GB2312" w:eastAsia="仿宋_GB2312" w:cs="仿宋_GB2312" w:hint="eastAsia"/>
          <w:color w:val="000000"/>
          <w:spacing w:val="0"/>
          <w:kern w:val="0"/>
          <w:sz w:val="32"/>
          <w:szCs w:val="32"/>
          <w:shd w:val="clear" w:color="auto" w:fill="FFFFFF"/>
          <w:lang w:eastAsia="zh-CN"/>
        </w:rPr>
        <w:t>表</w:t>
      </w:r>
      <w:r>
        <w:rPr>
          <w:rFonts w:ascii="仿宋_GB2312" w:eastAsia="仿宋_GB2312" w:cs="仿宋_GB2312" w:hint="eastAsia"/>
          <w:color w:val="000000"/>
          <w:spacing w:val="0"/>
          <w:kern w:val="0"/>
          <w:sz w:val="32"/>
          <w:szCs w:val="32"/>
          <w:shd w:val="clear" w:color="auto" w:fill="FFFFFF"/>
        </w:rPr>
        <w:t>》)及相关申报材料收悉</w:t>
      </w:r>
      <w:r>
        <w:rPr>
          <w:rFonts w:ascii="仿宋_GB2312" w:eastAsia="仿宋_GB2312" w:cs="仿宋_GB2312" w:hint="eastAsia"/>
          <w:color w:val="000000"/>
          <w:spacing w:val="0"/>
          <w:kern w:val="0"/>
          <w:sz w:val="32"/>
          <w:szCs w:val="32"/>
          <w:shd w:val="clear" w:color="auto" w:fill="FFFFFF"/>
          <w:lang w:eastAsia="zh-CN"/>
        </w:rPr>
        <w:t>，</w:t>
      </w:r>
      <w:r>
        <w:rPr>
          <w:rFonts w:ascii="仿宋" w:eastAsia="仿宋_GB2312" w:hAnsi="仿宋" w:hint="eastAsia"/>
          <w:color w:val="000000"/>
          <w:spacing w:val="0"/>
          <w:kern w:val="0"/>
          <w:sz w:val="32"/>
          <w:szCs w:val="32"/>
        </w:rPr>
        <w:t>根据环评报告</w:t>
      </w:r>
      <w:r>
        <w:rPr>
          <w:rFonts w:ascii="仿宋" w:eastAsia="仿宋_GB2312" w:hAnsi="仿宋" w:hint="eastAsia"/>
          <w:color w:val="000000"/>
          <w:spacing w:val="0"/>
          <w:kern w:val="0"/>
          <w:sz w:val="32"/>
          <w:szCs w:val="32"/>
          <w:lang w:eastAsia="zh-CN"/>
        </w:rPr>
        <w:t>表</w:t>
      </w:r>
      <w:r>
        <w:rPr>
          <w:rFonts w:ascii="仿宋" w:eastAsia="仿宋_GB2312" w:hAnsi="仿宋" w:hint="eastAsia"/>
          <w:color w:val="000000"/>
          <w:spacing w:val="0"/>
          <w:kern w:val="0"/>
          <w:sz w:val="32"/>
          <w:szCs w:val="32"/>
        </w:rPr>
        <w:t>结论、专家意见，结合</w:t>
      </w:r>
      <w:r>
        <w:rPr>
          <w:rFonts w:ascii="仿宋" w:eastAsia="仿宋_GB2312" w:hAnsi="仿宋" w:hint="eastAsia"/>
          <w:color w:val="000000"/>
          <w:spacing w:val="0"/>
          <w:kern w:val="0"/>
          <w:sz w:val="32"/>
          <w:szCs w:val="32"/>
          <w:lang w:val="en-US" w:eastAsia="zh-CN"/>
        </w:rPr>
        <w:t>项目</w:t>
      </w:r>
      <w:r>
        <w:rPr>
          <w:rFonts w:ascii="仿宋" w:eastAsia="仿宋_GB2312" w:hAnsi="仿宋" w:hint="eastAsia"/>
          <w:color w:val="000000"/>
          <w:spacing w:val="0"/>
          <w:kern w:val="0"/>
          <w:sz w:val="32"/>
          <w:szCs w:val="32"/>
        </w:rPr>
        <w:t>环境影响特点及</w:t>
      </w:r>
      <w:r>
        <w:rPr>
          <w:rFonts w:ascii="仿宋" w:eastAsia="仿宋_GB2312" w:hAnsi="仿宋" w:hint="eastAsia"/>
          <w:color w:val="000000"/>
          <w:spacing w:val="0"/>
          <w:kern w:val="0"/>
          <w:sz w:val="32"/>
          <w:szCs w:val="32"/>
          <w:lang w:val="en-US" w:eastAsia="zh-CN"/>
        </w:rPr>
        <w:t>公示反馈</w:t>
      </w:r>
      <w:r>
        <w:rPr>
          <w:rFonts w:ascii="仿宋" w:eastAsia="仿宋_GB2312" w:hAnsi="仿宋" w:hint="eastAsia"/>
          <w:color w:val="000000"/>
          <w:spacing w:val="0"/>
          <w:kern w:val="0"/>
          <w:sz w:val="32"/>
          <w:szCs w:val="32"/>
          <w:lang w:eastAsia="zh-CN"/>
        </w:rPr>
        <w:t>等方面情况</w:t>
      </w:r>
      <w:r>
        <w:rPr>
          <w:rFonts w:ascii="仿宋" w:eastAsia="仿宋_GB2312" w:hAnsi="仿宋" w:hint="eastAsia"/>
          <w:color w:val="000000"/>
          <w:spacing w:val="0"/>
          <w:kern w:val="0"/>
          <w:sz w:val="32"/>
          <w:szCs w:val="32"/>
        </w:rPr>
        <w:t>，经研究，现批复如下：</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560" w:lineRule="exact"/>
        <w:ind w:left="0" w:firstLineChars="200" w:firstLine="640"/>
        <w:textAlignment w:val="auto"/>
        <w:rPr>
          <w:rFonts w:ascii="仿宋_GB2312" w:eastAsia="仿宋_GB2312" w:cs="仿宋_GB2312"/>
          <w:color w:val="000000"/>
          <w:spacing w:val="0"/>
          <w:kern w:val="0"/>
          <w:sz w:val="32"/>
          <w:szCs w:val="32"/>
          <w:shd w:val="clear" w:color="auto" w:fill="FFFFFF"/>
        </w:rPr>
      </w:pPr>
      <w:r>
        <w:rPr>
          <w:rFonts w:ascii="仿宋_GB2312" w:eastAsia="仿宋_GB2312" w:cs="仿宋_GB2312" w:hint="eastAsia"/>
          <w:color w:val="000000"/>
          <w:spacing w:val="0"/>
          <w:kern w:val="0"/>
          <w:sz w:val="32"/>
          <w:szCs w:val="32"/>
          <w:shd w:val="clear" w:color="auto" w:fill="FFFFFF"/>
        </w:rPr>
        <w:t>项目建设内容和总体要求</w:t>
      </w:r>
    </w:p>
    <w:p>
      <w:pPr>
        <w:keepNext w:val="0"/>
        <w:keepLines w:val="0"/>
        <w:pageBreakBefore w:val="0"/>
        <w:widowControl w:val="0"/>
        <w:kinsoku/>
        <w:wordWrap/>
        <w:overflowPunct/>
        <w:topLinePunct w:val="0"/>
        <w:autoSpaceDE w:val="0"/>
        <w:autoSpaceDN w:val="0"/>
        <w:adjustRightInd w:val="0"/>
        <w:snapToGrid w:val="0"/>
        <w:spacing w:line="560" w:lineRule="exact"/>
        <w:ind w:firstLineChars="200" w:firstLine="640"/>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spacing w:val="0"/>
          <w:kern w:val="0"/>
          <w:sz w:val="32"/>
          <w:szCs w:val="32"/>
          <w:shd w:val="clear" w:color="auto" w:fill="FFFFFF"/>
          <w:lang w:eastAsia="zh-CN"/>
        </w:rPr>
        <w:t>该项目位于</w:t>
      </w:r>
      <w:r>
        <w:rPr>
          <w:rFonts w:ascii="仿宋_GB2312" w:eastAsia="仿宋_GB2312" w:cs="仿宋_GB2312"/>
          <w:color w:val="000000"/>
          <w:spacing w:val="0"/>
          <w:kern w:val="0"/>
          <w:sz w:val="32"/>
          <w:szCs w:val="32"/>
          <w:shd w:val="clear" w:color="auto" w:fill="FFFFFF"/>
          <w:lang w:eastAsia="zh-CN"/>
        </w:rPr>
        <w:t>秦皇岛市青龙满族自治县青龙镇肖杖子村</w:t>
      </w:r>
      <w:r>
        <w:rPr>
          <w:rFonts w:ascii="仿宋_GB2312" w:eastAsia="仿宋_GB2312" w:cs="仿宋_GB2312" w:hint="eastAsia"/>
          <w:color w:val="000000"/>
          <w:spacing w:val="0"/>
          <w:kern w:val="0"/>
          <w:sz w:val="32"/>
          <w:szCs w:val="32"/>
          <w:shd w:val="clear" w:color="auto" w:fill="FFFFFF"/>
          <w:lang w:eastAsia="zh-CN"/>
        </w:rPr>
        <w:t>，</w:t>
      </w:r>
      <w:r>
        <w:rPr>
          <w:rFonts w:ascii="仿宋_GB2312" w:eastAsia="仿宋_GB2312" w:cs="仿宋_GB2312"/>
          <w:color w:val="000000"/>
          <w:spacing w:val="0"/>
          <w:kern w:val="0"/>
          <w:sz w:val="32"/>
          <w:szCs w:val="32"/>
          <w:shd w:val="clear" w:color="auto" w:fill="FFFFFF"/>
          <w:lang w:eastAsia="zh-CN"/>
        </w:rPr>
        <w:t>租用</w:t>
      </w:r>
      <w:r>
        <w:rPr>
          <w:rFonts w:ascii="仿宋_GB2312" w:eastAsia="仿宋_GB2312" w:cs="仿宋_GB2312"/>
          <w:color w:val="000000"/>
          <w:kern w:val="0"/>
          <w:sz w:val="32"/>
          <w:szCs w:val="32"/>
          <w:shd w:val="clear" w:color="auto" w:fill="FFFFFF"/>
        </w:rPr>
        <w:t>青龙满族自治县</w:t>
      </w:r>
      <w:r>
        <w:rPr>
          <w:rFonts w:ascii="仿宋_GB2312" w:eastAsia="仿宋_GB2312" w:cs="仿宋_GB2312"/>
          <w:color w:val="000000"/>
          <w:spacing w:val="0"/>
          <w:kern w:val="0"/>
          <w:sz w:val="32"/>
          <w:szCs w:val="32"/>
          <w:shd w:val="clear" w:color="auto" w:fill="FFFFFF"/>
          <w:lang w:eastAsia="zh-CN"/>
        </w:rPr>
        <w:t>鑫灵铁业有限公司现有场地进行建设。项目</w:t>
      </w:r>
      <w:r>
        <w:rPr>
          <w:rFonts w:ascii="仿宋_GB2312" w:eastAsia="仿宋_GB2312" w:cs="仿宋_GB2312" w:hint="eastAsia"/>
          <w:color w:val="000000"/>
          <w:kern w:val="0"/>
          <w:sz w:val="32"/>
          <w:szCs w:val="32"/>
          <w:shd w:val="clear" w:color="auto" w:fill="FFFFFF"/>
          <w:lang w:val="en-US"/>
        </w:rPr>
        <w:t>主要建设</w:t>
      </w:r>
      <w:r>
        <w:rPr>
          <w:rFonts w:ascii="仿宋_GB2312" w:eastAsia="仿宋_GB2312" w:cs="仿宋_GB2312"/>
          <w:color w:val="000000"/>
          <w:kern w:val="0"/>
          <w:sz w:val="32"/>
          <w:szCs w:val="32"/>
          <w:shd w:val="clear" w:color="auto" w:fill="FFFFFF"/>
          <w:lang w:val="en-US"/>
        </w:rPr>
        <w:t>破碎</w:t>
      </w:r>
      <w:r>
        <w:rPr>
          <w:rFonts w:ascii="仿宋_GB2312" w:eastAsia="仿宋_GB2312" w:cs="仿宋_GB2312" w:hint="eastAsia"/>
          <w:color w:val="000000"/>
          <w:kern w:val="0"/>
          <w:sz w:val="32"/>
          <w:szCs w:val="32"/>
          <w:shd w:val="clear" w:color="auto" w:fill="FFFFFF"/>
          <w:lang w:val="en-US"/>
        </w:rPr>
        <w:t>洗砂</w:t>
      </w:r>
      <w:r>
        <w:rPr>
          <w:rFonts w:ascii="仿宋_GB2312" w:eastAsia="仿宋_GB2312" w:cs="仿宋_GB2312"/>
          <w:color w:val="000000"/>
          <w:kern w:val="0"/>
          <w:sz w:val="32"/>
          <w:szCs w:val="32"/>
          <w:shd w:val="clear" w:color="auto" w:fill="FFFFFF"/>
          <w:lang w:val="en-US"/>
        </w:rPr>
        <w:t>生产线</w:t>
      </w:r>
      <w:r>
        <w:rPr>
          <w:rFonts w:ascii="仿宋_GB2312" w:eastAsia="仿宋_GB2312" w:cs="仿宋_GB2312" w:hint="eastAsia"/>
          <w:color w:val="000000"/>
          <w:kern w:val="0"/>
          <w:sz w:val="32"/>
          <w:szCs w:val="32"/>
          <w:shd w:val="clear" w:color="auto" w:fill="FFFFFF"/>
          <w:lang w:val="en-US"/>
        </w:rPr>
        <w:t>1</w:t>
      </w:r>
      <w:r>
        <w:rPr>
          <w:rFonts w:ascii="仿宋_GB2312" w:eastAsia="仿宋_GB2312" w:cs="仿宋_GB2312"/>
          <w:color w:val="000000"/>
          <w:kern w:val="0"/>
          <w:sz w:val="32"/>
          <w:szCs w:val="32"/>
          <w:shd w:val="clear" w:color="auto" w:fill="FFFFFF"/>
          <w:lang w:val="en-US"/>
        </w:rPr>
        <w:t>条。项目建成后，年产</w:t>
      </w:r>
      <w:r>
        <w:rPr>
          <w:rFonts w:ascii="仿宋_GB2312" w:eastAsia="仿宋_GB2312" w:cs="仿宋_GB2312"/>
          <w:color w:val="000000"/>
          <w:kern w:val="0"/>
          <w:sz w:val="32"/>
          <w:szCs w:val="32"/>
          <w:shd w:val="clear" w:color="auto" w:fill="FFFFFF"/>
        </w:rPr>
        <w:t>建筑用砂石200万吨，其中石子70万吨/年，水洗砂、机制砂130万吨/年。项目总投资1000万元，环保投资100万元，占总投资的10%。</w:t>
      </w:r>
    </w:p>
    <w:p>
      <w:pPr>
        <w:keepNext w:val="0"/>
        <w:keepLines w:val="0"/>
        <w:pageBreakBefore w:val="0"/>
        <w:widowControl w:val="0"/>
        <w:kinsoku/>
        <w:wordWrap/>
        <w:overflowPunct/>
        <w:topLinePunct w:val="0"/>
        <w:autoSpaceDE w:val="0"/>
        <w:autoSpaceDN w:val="0"/>
        <w:adjustRightInd w:val="0"/>
        <w:snapToGrid w:val="0"/>
        <w:spacing w:line="560" w:lineRule="exact"/>
        <w:ind w:firstLineChars="200" w:firstLine="640"/>
        <w:rPr>
          <w:rFonts w:ascii="仿宋_GB2312" w:eastAsia="仿宋_GB2312" w:cs="仿宋_GB2312" w:hint="eastAsia"/>
          <w:color w:val="000000"/>
          <w:sz w:val="32"/>
          <w:szCs w:val="32"/>
          <w:shd w:val="clear" w:color="auto" w:fill="FFFFFF"/>
          <w:lang w:val="en-US" w:eastAsia="zh-CN"/>
        </w:rPr>
      </w:pPr>
      <w:r>
        <w:rPr>
          <w:rFonts w:ascii="仿宋_GB2312" w:eastAsia="仿宋_GB2312" w:cs="仿宋_GB2312"/>
          <w:color w:val="000000"/>
          <w:kern w:val="0"/>
          <w:sz w:val="32"/>
          <w:szCs w:val="32"/>
          <w:shd w:val="clear" w:color="auto" w:fill="FFFFFF"/>
          <w:lang w:eastAsia="zh-CN"/>
        </w:rPr>
        <w:t>项目须符合国家及地方产业政策。</w:t>
      </w:r>
      <w:r>
        <w:rPr>
          <w:rFonts w:ascii="仿宋_GB2312" w:eastAsia="仿宋_GB2312" w:cs="仿宋_GB2312"/>
          <w:color w:val="000000"/>
          <w:kern w:val="0"/>
          <w:sz w:val="32"/>
          <w:szCs w:val="32"/>
          <w:shd w:val="clear" w:color="auto" w:fill="FFFFFF"/>
        </w:rPr>
        <w:t>项目实施须符</w:t>
      </w:r>
      <w:r>
        <w:rPr>
          <w:rFonts w:ascii="仿宋_GB2312" w:eastAsia="仿宋_GB2312" w:cs="仿宋_GB2312" w:hint="eastAsia"/>
          <w:color w:val="000000"/>
          <w:spacing w:val="0"/>
          <w:kern w:val="0"/>
          <w:sz w:val="32"/>
          <w:szCs w:val="32"/>
        </w:rPr>
        <w:t>合规划环评、“三线一单”空间管控要求；项目建设须符合城乡建设、土地利用</w:t>
      </w:r>
      <w:r>
        <w:rPr>
          <w:rFonts w:ascii="仿宋_GB2312" w:eastAsia="仿宋_GB2312" w:cs="仿宋_GB2312" w:hint="eastAsia"/>
          <w:color w:val="000000"/>
          <w:spacing w:val="0"/>
          <w:kern w:val="0"/>
          <w:sz w:val="32"/>
          <w:szCs w:val="32"/>
          <w:lang w:eastAsia="zh-CN"/>
        </w:rPr>
        <w:t>、地方产业布局</w:t>
      </w:r>
      <w:r>
        <w:rPr>
          <w:rFonts w:ascii="仿宋_GB2312" w:eastAsia="仿宋_GB2312" w:cs="仿宋_GB2312" w:hint="eastAsia"/>
          <w:color w:val="000000"/>
          <w:spacing w:val="0"/>
          <w:kern w:val="0"/>
          <w:sz w:val="32"/>
          <w:szCs w:val="32"/>
        </w:rPr>
        <w:t>等相关规划要求。</w:t>
      </w:r>
      <w:r>
        <w:rPr>
          <w:rFonts w:ascii="仿宋_GB2312" w:eastAsia="仿宋_GB2312" w:cs="仿宋_GB2312" w:hint="eastAsia"/>
          <w:color w:val="000000"/>
          <w:spacing w:val="0"/>
          <w:kern w:val="0"/>
          <w:sz w:val="32"/>
          <w:szCs w:val="32"/>
          <w:shd w:val="clear" w:color="auto" w:fill="FFFFFF"/>
          <w:lang w:eastAsia="zh-CN"/>
        </w:rPr>
        <w:t>项目须满足《秦皇岛市非金属露天开采矿山及矿石加工、储存企业环境深度整治技术要求》、《煤场、料场、渣场扬尘污染控制技术规范》（DB13/T2352-2016）、</w:t>
      </w:r>
      <w:r>
        <w:rPr>
          <w:rFonts w:ascii="仿宋_GB2312" w:eastAsia="仿宋_GB2312" w:cs="仿宋_GB2312" w:hint="eastAsia"/>
          <w:color w:val="000000"/>
          <w:kern w:val="0"/>
          <w:sz w:val="32"/>
          <w:szCs w:val="32"/>
          <w:shd w:val="clear" w:color="auto" w:fill="FFFFFF"/>
          <w:lang w:eastAsia="zh-CN"/>
        </w:rPr>
        <w:t>《秦皇岛市人民政府关于秦皇岛市“三线一单”生态环境分区管控的实施意见》（秦政字[2021]6号）</w:t>
      </w:r>
      <w:r>
        <w:rPr>
          <w:rFonts w:ascii="仿宋_GB2312" w:eastAsia="仿宋_GB2312" w:cs="仿宋_GB2312"/>
          <w:color w:val="000000"/>
          <w:spacing w:val="0"/>
          <w:kern w:val="0"/>
          <w:sz w:val="32"/>
          <w:szCs w:val="32"/>
          <w:shd w:val="clear" w:color="auto" w:fill="FFFFFF"/>
          <w:lang w:eastAsia="zh-CN"/>
        </w:rPr>
        <w:t>、《青龙满族自治县人民政府关于机制砂石产业发展规划布局的指导意见》、《青龙满族自治县人民政府关于进一步规范砂石资源管理的通知》</w:t>
      </w:r>
      <w:r>
        <w:rPr>
          <w:rFonts w:ascii="仿宋_GB2312" w:eastAsia="仿宋_GB2312" w:cs="仿宋_GB2312" w:hint="eastAsia"/>
          <w:color w:val="000000"/>
          <w:spacing w:val="0"/>
          <w:kern w:val="0"/>
          <w:sz w:val="32"/>
          <w:szCs w:val="32"/>
          <w:shd w:val="clear" w:color="auto" w:fill="FFFFFF"/>
          <w:lang w:eastAsia="zh-CN"/>
        </w:rPr>
        <w:t>等文件要求。</w:t>
      </w:r>
      <w:r>
        <w:rPr>
          <w:rFonts w:ascii="仿宋_GB2312" w:eastAsia="仿宋_GB2312" w:cs="仿宋_GB2312"/>
          <w:color w:val="000000"/>
          <w:spacing w:val="0"/>
          <w:kern w:val="0"/>
          <w:sz w:val="32"/>
          <w:szCs w:val="32"/>
          <w:shd w:val="clear" w:color="auto" w:fill="FFFFFF"/>
          <w:lang w:eastAsia="zh-CN"/>
        </w:rPr>
        <w:t>项目已取得青龙满族自治县行政审批局备案（青审批投资备</w:t>
      </w:r>
      <w:r>
        <w:rPr>
          <w:rFonts w:ascii="仿宋_GB2312" w:eastAsia="仿宋_GB2312" w:cs="仿宋_GB2312" w:hint="eastAsia"/>
          <w:color w:val="000000"/>
          <w:spacing w:val="0"/>
          <w:kern w:val="0"/>
          <w:sz w:val="32"/>
          <w:szCs w:val="32"/>
          <w:shd w:val="clear" w:color="auto" w:fill="FFFFFF"/>
          <w:lang w:eastAsia="zh-CN"/>
        </w:rPr>
        <w:t>〔</w:t>
      </w:r>
      <w:r>
        <w:rPr>
          <w:rFonts w:ascii="仿宋_GB2312" w:eastAsia="仿宋_GB2312" w:cs="仿宋_GB2312"/>
          <w:color w:val="000000"/>
          <w:spacing w:val="0"/>
          <w:kern w:val="0"/>
          <w:sz w:val="32"/>
          <w:szCs w:val="32"/>
          <w:shd w:val="clear" w:color="auto" w:fill="FFFFFF"/>
          <w:lang w:eastAsia="zh-CN"/>
        </w:rPr>
        <w:t>2019</w:t>
      </w:r>
      <w:r>
        <w:rPr>
          <w:rFonts w:ascii="仿宋_GB2312" w:eastAsia="仿宋_GB2312" w:cs="仿宋_GB2312" w:hint="eastAsia"/>
          <w:color w:val="000000"/>
          <w:spacing w:val="0"/>
          <w:kern w:val="0"/>
          <w:sz w:val="32"/>
          <w:szCs w:val="32"/>
          <w:shd w:val="clear" w:color="auto" w:fill="FFFFFF"/>
          <w:lang w:eastAsia="zh-CN"/>
        </w:rPr>
        <w:t>〕</w:t>
      </w:r>
      <w:r>
        <w:rPr>
          <w:rFonts w:ascii="仿宋_GB2312" w:eastAsia="仿宋_GB2312" w:cs="仿宋_GB2312"/>
          <w:color w:val="000000"/>
          <w:spacing w:val="0"/>
          <w:kern w:val="0"/>
          <w:sz w:val="32"/>
          <w:szCs w:val="32"/>
          <w:shd w:val="clear" w:color="auto" w:fill="FFFFFF"/>
          <w:lang w:eastAsia="zh-CN"/>
        </w:rPr>
        <w:t>169号）；</w:t>
      </w:r>
      <w:r>
        <w:rPr>
          <w:rFonts w:ascii="仿宋_GB2312" w:eastAsia="仿宋_GB2312" w:cs="仿宋_GB2312" w:hint="eastAsia"/>
          <w:color w:val="000000"/>
          <w:sz w:val="32"/>
          <w:szCs w:val="32"/>
          <w:shd w:val="clear" w:color="auto" w:fill="FFFFFF"/>
          <w:lang w:val="en-US" w:eastAsia="zh-CN" w:bidi="ar-SA"/>
        </w:rPr>
        <w:t>项目</w:t>
      </w:r>
      <w:r>
        <w:rPr>
          <w:rFonts w:ascii="仿宋_GB2312" w:eastAsia="仿宋_GB2312" w:cs="仿宋_GB2312"/>
          <w:color w:val="000000"/>
          <w:sz w:val="32"/>
          <w:szCs w:val="32"/>
          <w:shd w:val="clear" w:color="auto" w:fill="FFFFFF"/>
          <w:lang w:val="en-US" w:eastAsia="zh-CN" w:bidi="ar-SA"/>
        </w:rPr>
        <w:t>已</w:t>
      </w:r>
      <w:r>
        <w:rPr>
          <w:rFonts w:ascii="仿宋_GB2312" w:eastAsia="仿宋_GB2312" w:cs="仿宋_GB2312" w:hint="eastAsia"/>
          <w:color w:val="000000"/>
          <w:sz w:val="32"/>
          <w:szCs w:val="32"/>
          <w:shd w:val="clear" w:color="auto" w:fill="FFFFFF"/>
          <w:lang w:val="en-US" w:eastAsia="zh-CN" w:bidi="ar-SA"/>
        </w:rPr>
        <w:t>取得青龙满族自治县自然资源和规划局出具的《青龙满族自治县自然资源和规划局关于同信环保科技有限公司建筑用石料破碎加工项目的说明》，同意项目选址建设</w:t>
      </w:r>
      <w:r>
        <w:rPr>
          <w:rFonts w:ascii="仿宋_GB2312" w:eastAsia="仿宋_GB2312" w:cs="仿宋_GB2312"/>
          <w:color w:val="000000"/>
          <w:sz w:val="32"/>
          <w:szCs w:val="32"/>
          <w:shd w:val="clear" w:color="auto" w:fill="FFFFFF"/>
          <w:lang w:val="en-US" w:eastAsia="zh-CN" w:bidi="ar-SA"/>
        </w:rPr>
        <w:t>；项目已</w:t>
      </w:r>
      <w:r>
        <w:rPr>
          <w:rFonts w:ascii="仿宋_GB2312" w:eastAsia="仿宋_GB2312" w:cs="仿宋_GB2312" w:hint="eastAsia"/>
          <w:color w:val="000000"/>
          <w:sz w:val="32"/>
          <w:szCs w:val="32"/>
          <w:shd w:val="clear" w:color="auto" w:fill="FFFFFF"/>
          <w:lang w:val="en-US" w:eastAsia="zh-CN" w:bidi="ar-SA"/>
        </w:rPr>
        <w:t>取得了青龙满族自治县</w:t>
      </w:r>
      <w:r>
        <w:rPr>
          <w:rFonts w:ascii="仿宋_GB2312" w:eastAsia="仿宋_GB2312" w:cs="仿宋_GB2312"/>
          <w:color w:val="000000"/>
          <w:sz w:val="32"/>
          <w:szCs w:val="32"/>
          <w:shd w:val="clear" w:color="auto" w:fill="FFFFFF"/>
          <w:lang w:val="en-US" w:eastAsia="zh-CN" w:bidi="ar-SA"/>
        </w:rPr>
        <w:t>行政审批局、自然资源和规划局等</w:t>
      </w:r>
      <w:r>
        <w:rPr>
          <w:rFonts w:ascii="仿宋_GB2312" w:eastAsia="仿宋_GB2312" w:cs="仿宋_GB2312" w:hint="eastAsia"/>
          <w:color w:val="000000"/>
          <w:sz w:val="32"/>
          <w:szCs w:val="32"/>
          <w:shd w:val="clear" w:color="auto" w:fill="FFFFFF"/>
          <w:lang w:val="en-US" w:eastAsia="zh-CN" w:bidi="ar-SA"/>
        </w:rPr>
        <w:t>相关部门出具的《青龙满族自治县选砂制砂（碎石加工）企业选址联合审查表》，</w:t>
      </w:r>
      <w:r>
        <w:rPr>
          <w:rFonts w:ascii="仿宋_GB2312" w:eastAsia="仿宋_GB2312" w:cs="仿宋_GB2312"/>
          <w:color w:val="000000"/>
          <w:sz w:val="32"/>
          <w:szCs w:val="32"/>
          <w:shd w:val="clear" w:color="auto" w:fill="FFFFFF"/>
          <w:lang w:val="en-US" w:eastAsia="zh-CN" w:bidi="ar-SA"/>
        </w:rPr>
        <w:t>相关部门均</w:t>
      </w:r>
      <w:r>
        <w:rPr>
          <w:rFonts w:ascii="仿宋_GB2312" w:eastAsia="仿宋_GB2312" w:cs="仿宋_GB2312" w:hint="eastAsia"/>
          <w:color w:val="000000"/>
          <w:sz w:val="32"/>
          <w:szCs w:val="32"/>
          <w:shd w:val="clear" w:color="auto" w:fill="FFFFFF"/>
          <w:lang w:val="en-US" w:eastAsia="zh-CN" w:bidi="ar-SA"/>
        </w:rPr>
        <w:t>同</w:t>
      </w:r>
      <w:r>
        <w:rPr>
          <w:rFonts w:ascii="仿宋_GB2312" w:eastAsia="仿宋_GB2312" w:cs="仿宋_GB2312" w:hint="eastAsia"/>
          <w:color w:val="000000"/>
          <w:sz w:val="32"/>
          <w:szCs w:val="32"/>
          <w:shd w:val="clear" w:color="auto" w:fill="FFFFFF"/>
          <w:lang w:val="en-US" w:eastAsia="zh-CN"/>
        </w:rPr>
        <w:t>意该项目的选址。</w:t>
      </w:r>
    </w:p>
    <w:p>
      <w:pPr>
        <w:keepNext w:val="0"/>
        <w:keepLines w:val="0"/>
        <w:pageBreakBefore w:val="0"/>
        <w:widowControl w:val="0"/>
        <w:kinsoku/>
        <w:wordWrap/>
        <w:overflowPunct/>
        <w:topLinePunct w:val="0"/>
        <w:autoSpaceDE w:val="0"/>
        <w:autoSpaceDN w:val="0"/>
        <w:adjustRightInd w:val="0"/>
        <w:snapToGrid w:val="0"/>
        <w:spacing w:line="560" w:lineRule="exact"/>
        <w:ind w:firstLineChars="200" w:firstLine="640"/>
        <w:rPr>
          <w:rFonts w:ascii="仿宋_GB2312" w:eastAsia="仿宋_GB2312" w:cs="仿宋_GB2312" w:hint="eastAsia"/>
          <w:color w:val="000000"/>
          <w:sz w:val="32"/>
          <w:szCs w:val="32"/>
          <w:shd w:val="clear" w:color="auto" w:fill="FFFFFF"/>
        </w:rPr>
      </w:pPr>
      <w:r>
        <w:rPr>
          <w:rFonts w:ascii="仿宋_GB2312" w:eastAsia="仿宋_GB2312" w:cs="仿宋_GB2312" w:hint="eastAsia"/>
          <w:color w:val="000000"/>
          <w:spacing w:val="0"/>
          <w:kern w:val="0"/>
          <w:sz w:val="32"/>
          <w:szCs w:val="32"/>
        </w:rPr>
        <w:t>该</w:t>
      </w:r>
      <w:r>
        <w:rPr>
          <w:rFonts w:ascii="仿宋_GB2312" w:eastAsia="仿宋_GB2312" w:cs="仿宋_GB2312" w:hint="eastAsia"/>
          <w:color w:val="000000"/>
          <w:spacing w:val="0"/>
          <w:kern w:val="0"/>
          <w:sz w:val="32"/>
          <w:szCs w:val="32"/>
          <w:lang w:eastAsia="zh-CN"/>
        </w:rPr>
        <w:t>项目</w:t>
      </w:r>
      <w:r>
        <w:rPr>
          <w:rFonts w:ascii="仿宋_GB2312" w:eastAsia="仿宋_GB2312" w:cs="仿宋_GB2312" w:hint="eastAsia"/>
          <w:color w:val="000000"/>
          <w:spacing w:val="0"/>
          <w:kern w:val="0"/>
          <w:sz w:val="32"/>
          <w:szCs w:val="32"/>
        </w:rPr>
        <w:t>《报告</w:t>
      </w:r>
      <w:r>
        <w:rPr>
          <w:rFonts w:ascii="仿宋_GB2312" w:eastAsia="仿宋_GB2312" w:cs="仿宋_GB2312" w:hint="eastAsia"/>
          <w:color w:val="000000"/>
          <w:spacing w:val="0"/>
          <w:kern w:val="0"/>
          <w:sz w:val="32"/>
          <w:szCs w:val="32"/>
          <w:lang w:eastAsia="zh-CN"/>
        </w:rPr>
        <w:t>表</w:t>
      </w:r>
      <w:r>
        <w:rPr>
          <w:rFonts w:ascii="仿宋_GB2312" w:eastAsia="仿宋_GB2312" w:cs="仿宋_GB2312" w:hint="eastAsia"/>
          <w:color w:val="000000"/>
          <w:spacing w:val="0"/>
          <w:kern w:val="0"/>
          <w:sz w:val="32"/>
          <w:szCs w:val="32"/>
        </w:rPr>
        <w:t>》已通过专家评审。根据</w:t>
      </w:r>
      <w:r>
        <w:rPr>
          <w:rFonts w:ascii="仿宋_GB2312" w:eastAsia="仿宋_GB2312" w:cs="仿宋_GB2312"/>
          <w:color w:val="000000"/>
          <w:spacing w:val="0"/>
          <w:kern w:val="0"/>
          <w:sz w:val="32"/>
          <w:szCs w:val="32"/>
        </w:rPr>
        <w:t>所报《报告表》、</w:t>
      </w:r>
      <w:r>
        <w:rPr>
          <w:rFonts w:ascii="仿宋_GB2312" w:eastAsia="仿宋_GB2312" w:cs="仿宋_GB2312" w:hint="eastAsia"/>
          <w:color w:val="000000"/>
          <w:spacing w:val="0"/>
          <w:kern w:val="0"/>
          <w:sz w:val="32"/>
          <w:szCs w:val="32"/>
        </w:rPr>
        <w:t>各有关</w:t>
      </w:r>
      <w:r>
        <w:rPr>
          <w:rFonts w:ascii="仿宋_GB2312" w:eastAsia="仿宋_GB2312" w:cs="仿宋_GB2312"/>
          <w:color w:val="000000"/>
          <w:spacing w:val="0"/>
          <w:kern w:val="0"/>
          <w:sz w:val="32"/>
          <w:szCs w:val="32"/>
        </w:rPr>
        <w:t>部门</w:t>
      </w:r>
      <w:r>
        <w:rPr>
          <w:rFonts w:ascii="仿宋_GB2312" w:eastAsia="仿宋_GB2312" w:cs="仿宋_GB2312" w:hint="eastAsia"/>
          <w:color w:val="000000"/>
          <w:spacing w:val="0"/>
          <w:kern w:val="0"/>
          <w:sz w:val="32"/>
          <w:szCs w:val="32"/>
        </w:rPr>
        <w:t>意见、专家</w:t>
      </w:r>
      <w:r>
        <w:rPr>
          <w:rFonts w:ascii="仿宋_GB2312" w:eastAsia="仿宋_GB2312" w:cs="仿宋_GB2312"/>
          <w:color w:val="000000"/>
          <w:spacing w:val="0"/>
          <w:kern w:val="0"/>
          <w:sz w:val="32"/>
          <w:szCs w:val="32"/>
        </w:rPr>
        <w:t>评审</w:t>
      </w:r>
      <w:r>
        <w:rPr>
          <w:rFonts w:ascii="仿宋_GB2312" w:eastAsia="仿宋_GB2312" w:cs="仿宋_GB2312" w:hint="eastAsia"/>
          <w:color w:val="000000"/>
          <w:spacing w:val="0"/>
          <w:kern w:val="0"/>
          <w:sz w:val="32"/>
          <w:szCs w:val="32"/>
        </w:rPr>
        <w:t>意见</w:t>
      </w:r>
      <w:r>
        <w:rPr>
          <w:rFonts w:ascii="仿宋_GB2312" w:eastAsia="仿宋_GB2312" w:cs="仿宋_GB2312"/>
          <w:color w:val="000000"/>
          <w:spacing w:val="0"/>
          <w:kern w:val="0"/>
          <w:sz w:val="32"/>
          <w:szCs w:val="32"/>
        </w:rPr>
        <w:t>、</w:t>
      </w:r>
      <w:r>
        <w:rPr>
          <w:rFonts w:ascii="仿宋_GB2312" w:eastAsia="仿宋_GB2312" w:cs="仿宋_GB2312" w:hint="eastAsia"/>
          <w:color w:val="000000"/>
          <w:spacing w:val="0"/>
          <w:kern w:val="0"/>
          <w:sz w:val="32"/>
          <w:szCs w:val="32"/>
        </w:rPr>
        <w:t>本项目公示意见反馈情况</w:t>
      </w:r>
      <w:r>
        <w:rPr>
          <w:rFonts w:ascii="仿宋_GB2312" w:eastAsia="仿宋_GB2312" w:cs="仿宋_GB2312"/>
          <w:color w:val="000000"/>
          <w:spacing w:val="0"/>
          <w:kern w:val="0"/>
          <w:sz w:val="32"/>
          <w:szCs w:val="32"/>
        </w:rPr>
        <w:t>以及企业承诺</w:t>
      </w:r>
      <w:r>
        <w:rPr>
          <w:rFonts w:ascii="仿宋_GB2312" w:eastAsia="仿宋_GB2312" w:cs="仿宋_GB2312" w:hint="eastAsia"/>
          <w:color w:val="000000"/>
          <w:spacing w:val="0"/>
          <w:kern w:val="0"/>
          <w:sz w:val="32"/>
          <w:szCs w:val="32"/>
        </w:rPr>
        <w:t>，在项目</w:t>
      </w:r>
      <w:r>
        <w:rPr>
          <w:rFonts w:ascii="仿宋_GB2312" w:eastAsia="仿宋_GB2312" w:cs="仿宋_GB2312" w:hint="eastAsia"/>
          <w:color w:val="000000"/>
          <w:spacing w:val="0"/>
          <w:kern w:val="0"/>
          <w:sz w:val="32"/>
          <w:szCs w:val="32"/>
          <w:lang w:eastAsia="zh-CN"/>
        </w:rPr>
        <w:t>全面严格</w:t>
      </w:r>
      <w:r>
        <w:rPr>
          <w:rFonts w:ascii="仿宋_GB2312" w:eastAsia="仿宋_GB2312" w:cs="仿宋_GB2312" w:hint="eastAsia"/>
          <w:color w:val="000000"/>
          <w:spacing w:val="0"/>
          <w:kern w:val="0"/>
          <w:sz w:val="32"/>
          <w:szCs w:val="32"/>
          <w:lang w:val="en-US" w:eastAsia="zh-CN"/>
        </w:rPr>
        <w:t>落实</w:t>
      </w:r>
      <w:r>
        <w:rPr>
          <w:rFonts w:ascii="仿宋_GB2312" w:eastAsia="仿宋_GB2312" w:cs="仿宋_GB2312" w:hint="eastAsia"/>
          <w:color w:val="000000"/>
          <w:spacing w:val="0"/>
          <w:kern w:val="0"/>
          <w:sz w:val="32"/>
          <w:szCs w:val="32"/>
        </w:rPr>
        <w:t>国家和地方相关法律法规、</w:t>
      </w:r>
      <w:r>
        <w:rPr>
          <w:rFonts w:ascii="仿宋_GB2312" w:eastAsia="仿宋_GB2312" w:cs="仿宋_GB2312" w:hint="eastAsia"/>
          <w:color w:val="000000"/>
          <w:spacing w:val="0"/>
          <w:kern w:val="0"/>
          <w:sz w:val="32"/>
          <w:szCs w:val="32"/>
          <w:lang w:eastAsia="zh-CN"/>
        </w:rPr>
        <w:t>规章、</w:t>
      </w:r>
      <w:r>
        <w:rPr>
          <w:rFonts w:ascii="仿宋_GB2312" w:eastAsia="仿宋_GB2312" w:cs="仿宋_GB2312" w:hint="eastAsia"/>
          <w:color w:val="000000"/>
          <w:spacing w:val="0"/>
          <w:kern w:val="0"/>
          <w:sz w:val="32"/>
          <w:szCs w:val="32"/>
        </w:rPr>
        <w:t>标准</w:t>
      </w:r>
      <w:r>
        <w:rPr>
          <w:rFonts w:ascii="仿宋_GB2312" w:eastAsia="仿宋_GB2312" w:cs="仿宋_GB2312" w:hint="eastAsia"/>
          <w:color w:val="000000"/>
          <w:spacing w:val="0"/>
          <w:kern w:val="0"/>
          <w:sz w:val="32"/>
          <w:szCs w:val="32"/>
          <w:shd w:val="clear" w:color="auto" w:fill="FFFFFF"/>
        </w:rPr>
        <w:t>、生态环境监督管理</w:t>
      </w:r>
      <w:r>
        <w:rPr>
          <w:rFonts w:ascii="仿宋_GB2312" w:eastAsia="仿宋_GB2312" w:cs="仿宋_GB2312" w:hint="eastAsia"/>
          <w:color w:val="000000"/>
          <w:spacing w:val="0"/>
          <w:kern w:val="0"/>
          <w:sz w:val="32"/>
          <w:szCs w:val="32"/>
          <w:shd w:val="clear" w:color="auto" w:fill="FFFFFF"/>
          <w:lang w:eastAsia="zh-CN"/>
        </w:rPr>
        <w:t>要求等</w:t>
      </w:r>
      <w:r>
        <w:rPr>
          <w:rFonts w:ascii="仿宋_GB2312" w:eastAsia="仿宋_GB2312" w:cs="仿宋_GB2312" w:hint="eastAsia"/>
          <w:color w:val="000000"/>
          <w:spacing w:val="0"/>
          <w:kern w:val="0"/>
          <w:sz w:val="32"/>
          <w:szCs w:val="32"/>
        </w:rPr>
        <w:t>规定</w:t>
      </w:r>
      <w:r>
        <w:rPr>
          <w:rFonts w:ascii="仿宋_GB2312" w:eastAsia="仿宋_GB2312" w:cs="仿宋_GB2312" w:hint="eastAsia"/>
          <w:color w:val="000000"/>
          <w:spacing w:val="0"/>
          <w:kern w:val="0"/>
          <w:sz w:val="32"/>
          <w:szCs w:val="32"/>
          <w:lang w:eastAsia="zh-CN"/>
        </w:rPr>
        <w:t>以及</w:t>
      </w:r>
      <w:r>
        <w:rPr>
          <w:rFonts w:ascii="仿宋_GB2312" w:eastAsia="仿宋_GB2312" w:cs="仿宋_GB2312" w:hint="eastAsia"/>
          <w:color w:val="000000"/>
          <w:spacing w:val="0"/>
          <w:kern w:val="0"/>
          <w:sz w:val="32"/>
          <w:szCs w:val="32"/>
          <w:shd w:val="clear" w:color="auto" w:fill="FFFFFF"/>
        </w:rPr>
        <w:t>《报告表》提出的各项污染防治措施</w:t>
      </w:r>
      <w:r>
        <w:rPr>
          <w:rFonts w:ascii="仿宋_GB2312" w:eastAsia="仿宋_GB2312" w:cs="仿宋_GB2312" w:hint="eastAsia"/>
          <w:color w:val="000000"/>
          <w:spacing w:val="0"/>
          <w:kern w:val="0"/>
          <w:sz w:val="32"/>
          <w:szCs w:val="32"/>
          <w:shd w:val="clear" w:color="auto" w:fill="FFFFFF"/>
          <w:lang w:eastAsia="zh-CN"/>
        </w:rPr>
        <w:t>、环境管理要求的前提下，</w:t>
      </w:r>
      <w:r>
        <w:rPr>
          <w:rFonts w:ascii="仿宋_GB2312" w:eastAsia="仿宋_GB2312" w:cs="仿宋_GB2312" w:hint="eastAsia"/>
          <w:color w:val="000000"/>
          <w:spacing w:val="0"/>
          <w:kern w:val="0"/>
          <w:sz w:val="32"/>
          <w:szCs w:val="32"/>
        </w:rPr>
        <w:t>从环境保护角度考虑，我局原则同意《报告</w:t>
      </w:r>
      <w:r>
        <w:rPr>
          <w:rFonts w:ascii="仿宋_GB2312" w:eastAsia="仿宋_GB2312" w:cs="仿宋_GB2312" w:hint="eastAsia"/>
          <w:color w:val="000000"/>
          <w:spacing w:val="0"/>
          <w:kern w:val="0"/>
          <w:sz w:val="32"/>
          <w:szCs w:val="32"/>
          <w:lang w:eastAsia="zh-CN"/>
        </w:rPr>
        <w:t>表</w:t>
      </w:r>
      <w:r>
        <w:rPr>
          <w:rFonts w:ascii="仿宋_GB2312" w:eastAsia="仿宋_GB2312" w:cs="仿宋_GB2312" w:hint="eastAsia"/>
          <w:color w:val="000000"/>
          <w:spacing w:val="0"/>
          <w:kern w:val="0"/>
          <w:sz w:val="32"/>
          <w:szCs w:val="32"/>
        </w:rPr>
        <w:t>》</w:t>
      </w:r>
      <w:r>
        <w:rPr>
          <w:rFonts w:ascii="仿宋_GB2312" w:eastAsia="仿宋_GB2312" w:cs="仿宋_GB2312"/>
          <w:color w:val="000000"/>
          <w:spacing w:val="0"/>
          <w:kern w:val="0"/>
          <w:sz w:val="32"/>
          <w:szCs w:val="32"/>
        </w:rPr>
        <w:t>结论</w:t>
      </w:r>
      <w:r>
        <w:rPr>
          <w:rFonts w:ascii="仿宋_GB2312" w:eastAsia="仿宋_GB2312" w:cs="仿宋_GB2312" w:hint="eastAsia"/>
          <w:color w:val="000000"/>
          <w:spacing w:val="0"/>
          <w:kern w:val="0"/>
          <w:sz w:val="32"/>
          <w:szCs w:val="32"/>
        </w:rPr>
        <w:t>。</w:t>
      </w:r>
      <w:r>
        <w:rPr>
          <w:rFonts w:ascii="仿宋_GB2312" w:eastAsia="仿宋_GB2312" w:cs="仿宋_GB2312"/>
          <w:color w:val="000000"/>
          <w:spacing w:val="0"/>
          <w:kern w:val="0"/>
          <w:sz w:val="32"/>
          <w:szCs w:val="32"/>
        </w:rPr>
        <w:t>你公司须严格按照《报告表》所列建设项目的性质、规模、地点、生产工艺、环保措施及要求实施</w:t>
      </w:r>
      <w:r>
        <w:rPr>
          <w:rFonts w:ascii="仿宋_GB2312" w:eastAsia="仿宋_GB2312" w:cs="仿宋_GB2312" w:hint="eastAsia"/>
          <w:color w:val="000000"/>
          <w:sz w:val="32"/>
          <w:szCs w:val="32"/>
          <w:shd w:val="clear" w:color="auto" w:fill="FFFFFF"/>
        </w:rPr>
        <w:t>项目建设，未列入本报告及批复许可的内容，不得建设、投入运行。</w:t>
      </w:r>
    </w:p>
    <w:p>
      <w:pPr>
        <w:keepNext w:val="0"/>
        <w:keepLines w:val="0"/>
        <w:pageBreakBefore w:val="0"/>
        <w:widowControl w:val="0"/>
        <w:kinsoku/>
        <w:wordWrap/>
        <w:overflowPunct/>
        <w:topLinePunct w:val="0"/>
        <w:autoSpaceDE w:val="0"/>
        <w:autoSpaceDN w:val="0"/>
        <w:adjustRightInd w:val="0"/>
        <w:snapToGrid w:val="0"/>
        <w:spacing w:line="560" w:lineRule="exact"/>
        <w:ind w:firstLineChars="200" w:firstLine="640"/>
        <w:rPr>
          <w:rStyle w:val="0"/>
          <w:rFonts w:ascii="仿宋_GB2312" w:eastAsia="仿宋_GB2312" w:cs="仿宋_GB2312" w:hint="eastAsia"/>
          <w:color w:val="000000"/>
          <w:kern w:val="0"/>
          <w:sz w:val="32"/>
          <w:szCs w:val="32"/>
        </w:rPr>
      </w:pPr>
      <w:r>
        <w:rPr>
          <w:rStyle w:val="0"/>
          <w:rFonts w:ascii="仿宋_GB2312" w:eastAsia="仿宋_GB2312" w:cs="仿宋_GB2312" w:hint="eastAsia"/>
          <w:color w:val="000000"/>
          <w:kern w:val="0"/>
          <w:sz w:val="32"/>
          <w:szCs w:val="32"/>
        </w:rPr>
        <w:t>二、该项目建设和运行过程中要认真落实《报告表》及相关的各项污染防治措施和环境管理要求，确保各项污染物稳定达标排放。同时，重点做好以下工作：</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Chars="200" w:firstLine="640"/>
        <w:textAlignment w:val="auto"/>
        <w:rPr>
          <w:rFonts w:ascii="仿宋_GB2312" w:eastAsia="仿宋_GB2312" w:cs="仿宋_GB2312"/>
          <w:color w:val="000000"/>
          <w:kern w:val="0"/>
          <w:sz w:val="32"/>
          <w:szCs w:val="32"/>
        </w:rPr>
      </w:pPr>
      <w:r>
        <w:rPr>
          <w:rStyle w:val="0"/>
          <w:rFonts w:ascii="仿宋_GB2312" w:eastAsia="仿宋_GB2312" w:cs="仿宋_GB2312"/>
          <w:color w:val="000000"/>
          <w:kern w:val="0"/>
          <w:sz w:val="32"/>
          <w:szCs w:val="32"/>
        </w:rPr>
        <w:t>（一）加强施工期管理，制定严格的规章制度，确保各项环保措施落实到位。选用低噪声施工机械，合理安排各类施工机械工作时间，确保施工场界噪声达到</w:t>
      </w:r>
      <w:r>
        <w:rPr>
          <w:rFonts w:ascii="仿宋_GB2312" w:eastAsia="仿宋_GB2312" w:cs="仿宋_GB2312" w:hint="eastAsia"/>
          <w:color w:val="000000"/>
          <w:kern w:val="0"/>
          <w:sz w:val="32"/>
          <w:szCs w:val="32"/>
          <w:lang w:val="en-US" w:eastAsia="zh-CN"/>
        </w:rPr>
        <w:t>《建筑施工场界环境噪声排放标准》(GB12523-2011)要求；</w:t>
      </w:r>
      <w:r>
        <w:rPr>
          <w:rFonts w:ascii="仿宋_GB2312" w:eastAsia="仿宋_GB2312" w:cs="仿宋_GB2312"/>
          <w:color w:val="000000"/>
          <w:kern w:val="0"/>
          <w:sz w:val="32"/>
          <w:szCs w:val="32"/>
          <w:lang w:val="en-US" w:eastAsia="zh-CN"/>
        </w:rPr>
        <w:t>有效控制施工扬尘，确保施工扬尘满足</w:t>
      </w:r>
      <w:r>
        <w:rPr>
          <w:rFonts w:ascii="仿宋_GB2312" w:eastAsia="仿宋_GB2312" w:cs="仿宋_GB2312" w:hint="eastAsia"/>
          <w:color w:val="000000"/>
          <w:kern w:val="0"/>
          <w:sz w:val="32"/>
          <w:szCs w:val="32"/>
          <w:lang w:val="en-US" w:eastAsia="zh-CN"/>
        </w:rPr>
        <w:t>《施工场地扬尘排放标准》（DB13/2934-2019）要求</w:t>
      </w:r>
      <w:r>
        <w:rPr>
          <w:rFonts w:ascii="仿宋_GB2312" w:eastAsia="仿宋_GB2312" w:cs="仿宋_GB2312"/>
          <w:color w:val="000000"/>
          <w:kern w:val="0"/>
          <w:sz w:val="32"/>
          <w:szCs w:val="32"/>
          <w:lang w:val="en-US" w:eastAsia="zh-CN"/>
        </w:rPr>
        <w:t>；依法依规处置施工期固体废弃物，防止施工期间废水、扬尘、固废、噪声等污染环境。</w:t>
      </w:r>
      <w:r>
        <w:rPr>
          <w:rFonts w:ascii="仿宋_GB2312" w:eastAsia="仿宋_GB2312" w:cs="仿宋_GB2312" w:hint="eastAsia"/>
          <w:color w:val="000000"/>
          <w:kern w:val="0"/>
          <w:sz w:val="32"/>
          <w:szCs w:val="32"/>
        </w:rPr>
        <w:t>严格按照《报告表》要求进行相应的地面硬化以及</w:t>
      </w:r>
      <w:r>
        <w:rPr>
          <w:rFonts w:ascii="仿宋_GB2312" w:eastAsia="仿宋_GB2312" w:cs="仿宋_GB2312" w:hint="eastAsia"/>
          <w:color w:val="000000"/>
          <w:kern w:val="0"/>
          <w:sz w:val="32"/>
          <w:szCs w:val="32"/>
          <w:lang w:eastAsia="zh-CN"/>
        </w:rPr>
        <w:t>防腐、</w:t>
      </w:r>
      <w:r>
        <w:rPr>
          <w:rFonts w:ascii="仿宋_GB2312" w:eastAsia="仿宋_GB2312" w:cs="仿宋_GB2312" w:hint="eastAsia"/>
          <w:color w:val="000000"/>
          <w:kern w:val="0"/>
          <w:sz w:val="32"/>
          <w:szCs w:val="32"/>
        </w:rPr>
        <w:t>防渗</w:t>
      </w:r>
      <w:r>
        <w:rPr>
          <w:rFonts w:ascii="仿宋_GB2312" w:eastAsia="仿宋_GB2312" w:cs="仿宋_GB2312" w:hint="eastAsia"/>
          <w:color w:val="000000"/>
          <w:kern w:val="0"/>
          <w:sz w:val="32"/>
          <w:szCs w:val="32"/>
          <w:lang w:eastAsia="zh-CN"/>
        </w:rPr>
        <w:t>、防漏、</w:t>
      </w:r>
      <w:r>
        <w:rPr>
          <w:rFonts w:ascii="仿宋_GB2312" w:eastAsia="仿宋_GB2312" w:cs="仿宋_GB2312" w:hint="eastAsia"/>
          <w:color w:val="000000"/>
          <w:kern w:val="0"/>
          <w:sz w:val="32"/>
          <w:szCs w:val="32"/>
        </w:rPr>
        <w:t>防</w:t>
      </w:r>
      <w:r>
        <w:rPr>
          <w:rFonts w:ascii="仿宋_GB2312" w:eastAsia="仿宋_GB2312" w:cs="仿宋_GB2312" w:hint="eastAsia"/>
          <w:color w:val="000000"/>
          <w:kern w:val="0"/>
          <w:sz w:val="32"/>
          <w:szCs w:val="32"/>
          <w:lang w:val="en-US" w:eastAsia="zh-CN"/>
        </w:rPr>
        <w:t>冻</w:t>
      </w:r>
      <w:r>
        <w:rPr>
          <w:rFonts w:ascii="仿宋_GB2312" w:eastAsia="仿宋_GB2312" w:cs="仿宋_GB2312" w:hint="eastAsia"/>
          <w:color w:val="000000"/>
          <w:kern w:val="0"/>
          <w:sz w:val="32"/>
          <w:szCs w:val="32"/>
        </w:rPr>
        <w:t>施工。</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Chars="200" w:firstLine="640"/>
        <w:textAlignment w:val="auto"/>
        <w:rPr>
          <w:rFonts w:ascii="仿宋_GB2312" w:eastAsia="仿宋_GB2312" w:cs="仿宋_GB2312" w:hint="eastAsia"/>
          <w:color w:val="000000"/>
          <w:spacing w:val="0"/>
          <w:kern w:val="0"/>
          <w:sz w:val="32"/>
          <w:szCs w:val="32"/>
          <w:shd w:val="clear" w:color="auto" w:fill="FFFFFF"/>
          <w:lang w:eastAsia="zh-CN"/>
        </w:rPr>
      </w:pPr>
      <w:r>
        <w:rPr>
          <w:rFonts w:ascii="仿宋_GB2312" w:eastAsia="仿宋_GB2312" w:cs="仿宋_GB2312" w:hint="eastAsia"/>
          <w:color w:val="000000"/>
          <w:spacing w:val="0"/>
          <w:kern w:val="0"/>
          <w:sz w:val="32"/>
          <w:szCs w:val="32"/>
          <w:shd w:val="clear" w:color="auto" w:fill="FFFFFF"/>
          <w:lang w:val="en-US" w:eastAsia="zh-CN"/>
        </w:rPr>
        <w:t>(二)加强运营期环境管理，严格落实各项污染防治措施。</w:t>
      </w:r>
    </w:p>
    <w:p>
      <w:pPr>
        <w:keepNext w:val="0"/>
        <w:keepLines w:val="0"/>
        <w:pageBreakBefore w:val="0"/>
        <w:widowControl w:val="0"/>
        <w:kinsoku/>
        <w:wordWrap/>
        <w:overflowPunct/>
        <w:topLinePunct w:val="0"/>
        <w:autoSpaceDE w:val="0"/>
        <w:autoSpaceDN w:val="0"/>
        <w:adjustRightInd w:val="0"/>
        <w:snapToGrid w:val="0"/>
        <w:spacing w:line="560" w:lineRule="exact"/>
        <w:ind w:firstLineChars="200" w:firstLine="640"/>
        <w:rPr>
          <w:rFonts w:ascii="仿宋_GB2312" w:eastAsia="仿宋_GB2312" w:cs="仿宋_GB2312"/>
          <w:color w:val="000000"/>
          <w:spacing w:val="0"/>
          <w:kern w:val="0"/>
          <w:sz w:val="32"/>
          <w:szCs w:val="32"/>
          <w:lang w:eastAsia="zh-CN"/>
        </w:rPr>
      </w:pPr>
      <w:r>
        <w:rPr>
          <w:rFonts w:ascii="仿宋_GB2312" w:eastAsia="仿宋_GB2312" w:cs="仿宋_GB2312" w:hint="eastAsia"/>
          <w:color w:val="000000"/>
          <w:spacing w:val="0"/>
          <w:kern w:val="0"/>
          <w:sz w:val="32"/>
          <w:szCs w:val="32"/>
          <w:shd w:val="clear" w:color="auto" w:fill="FFFFFF"/>
          <w:lang w:val="en-US" w:eastAsia="zh-CN"/>
        </w:rPr>
        <w:t>1.严格落实各项大气</w:t>
      </w:r>
      <w:r>
        <w:rPr>
          <w:rFonts w:ascii="仿宋_GB2312" w:eastAsia="仿宋_GB2312" w:cs="仿宋_GB2312" w:hint="eastAsia"/>
          <w:color w:val="000000"/>
          <w:spacing w:val="0"/>
          <w:kern w:val="0"/>
          <w:sz w:val="32"/>
          <w:szCs w:val="32"/>
          <w:shd w:val="clear" w:color="auto" w:fill="FFFFFF"/>
        </w:rPr>
        <w:t>污染防治措施</w:t>
      </w:r>
      <w:r>
        <w:rPr>
          <w:rFonts w:ascii="仿宋_GB2312" w:eastAsia="仿宋_GB2312" w:cs="仿宋_GB2312" w:hint="eastAsia"/>
          <w:color w:val="000000"/>
          <w:spacing w:val="0"/>
          <w:kern w:val="0"/>
          <w:sz w:val="32"/>
          <w:szCs w:val="32"/>
          <w:shd w:val="clear" w:color="auto" w:fill="FFFFFF"/>
          <w:lang w:eastAsia="zh-CN"/>
        </w:rPr>
        <w:t>。</w:t>
      </w:r>
      <w:r>
        <w:rPr>
          <w:rFonts w:ascii="仿宋_GB2312" w:eastAsia="仿宋_GB2312" w:cs="仿宋_GB2312" w:hint="eastAsia"/>
          <w:color w:val="000000"/>
          <w:spacing w:val="0"/>
          <w:kern w:val="0"/>
          <w:sz w:val="32"/>
          <w:szCs w:val="32"/>
          <w:shd w:val="clear" w:color="auto" w:fill="FFFFFF"/>
        </w:rPr>
        <w:t>根据废气污染物的性质切实采用有效处理方式，处理设施的处理能力、效率应满足需求，排气筒高度须符合国家有关要求，确保大气污染物排放满足国家和地方有关标准要求。</w:t>
      </w:r>
      <w:r>
        <w:rPr>
          <w:rFonts w:ascii="仿宋_GB2312" w:eastAsia="仿宋_GB2312" w:cs="仿宋_GB2312" w:hint="eastAsia"/>
          <w:color w:val="000000"/>
          <w:spacing w:val="0"/>
          <w:kern w:val="0"/>
          <w:sz w:val="32"/>
          <w:szCs w:val="32"/>
        </w:rPr>
        <w:t>有组织废气</w:t>
      </w:r>
      <w:r>
        <w:rPr>
          <w:rFonts w:ascii="仿宋_GB2312" w:eastAsia="仿宋_GB2312" w:cs="仿宋_GB2312"/>
          <w:color w:val="000000"/>
          <w:spacing w:val="0"/>
          <w:kern w:val="0"/>
          <w:sz w:val="32"/>
          <w:szCs w:val="32"/>
        </w:rPr>
        <w:t>颗粒物</w:t>
      </w:r>
      <w:r>
        <w:rPr>
          <w:rFonts w:ascii="仿宋_GB2312" w:eastAsia="仿宋_GB2312" w:cs="仿宋_GB2312" w:hint="eastAsia"/>
          <w:color w:val="000000"/>
          <w:spacing w:val="0"/>
          <w:kern w:val="0"/>
          <w:sz w:val="32"/>
          <w:szCs w:val="32"/>
        </w:rPr>
        <w:t>排放</w:t>
      </w:r>
      <w:r>
        <w:rPr>
          <w:rFonts w:ascii="仿宋_GB2312" w:eastAsia="仿宋_GB2312" w:cs="仿宋_GB2312"/>
          <w:color w:val="000000"/>
          <w:spacing w:val="0"/>
          <w:kern w:val="0"/>
          <w:sz w:val="32"/>
          <w:szCs w:val="32"/>
        </w:rPr>
        <w:t>浓度</w:t>
      </w:r>
      <w:r>
        <w:rPr>
          <w:rFonts w:ascii="仿宋_GB2312" w:eastAsia="仿宋_GB2312" w:cs="仿宋_GB2312" w:hint="eastAsia"/>
          <w:color w:val="000000"/>
          <w:spacing w:val="0"/>
          <w:kern w:val="0"/>
          <w:sz w:val="32"/>
          <w:szCs w:val="32"/>
          <w:lang w:eastAsia="zh-CN"/>
        </w:rPr>
        <w:t>须满足</w:t>
      </w:r>
      <w:r>
        <w:rPr>
          <w:rFonts w:ascii="仿宋_GB2312" w:eastAsia="仿宋_GB2312" w:cs="仿宋_GB2312"/>
          <w:color w:val="000000"/>
          <w:spacing w:val="0"/>
          <w:kern w:val="0"/>
          <w:sz w:val="32"/>
          <w:szCs w:val="32"/>
          <w:lang w:eastAsia="zh-CN"/>
        </w:rPr>
        <w:t>《铁矿采选工业污染物排放标准》（GB28661-2012）表5</w:t>
      </w:r>
      <w:r>
        <w:rPr>
          <w:rFonts w:ascii="仿宋_GB2312" w:eastAsia="仿宋_GB2312" w:cs="仿宋_GB2312"/>
          <w:color w:val="000000"/>
          <w:kern w:val="0"/>
          <w:sz w:val="32"/>
          <w:szCs w:val="32"/>
          <w:lang w:eastAsia="zh-CN"/>
        </w:rPr>
        <w:t>大气污染物</w:t>
      </w:r>
      <w:r>
        <w:rPr>
          <w:rFonts w:ascii="仿宋_GB2312" w:eastAsia="仿宋_GB2312" w:cs="仿宋_GB2312"/>
          <w:color w:val="000000"/>
          <w:spacing w:val="0"/>
          <w:kern w:val="0"/>
          <w:sz w:val="32"/>
          <w:szCs w:val="32"/>
          <w:lang w:eastAsia="zh-CN"/>
        </w:rPr>
        <w:t>排放浓度限值要求；厂界</w:t>
      </w:r>
      <w:r>
        <w:rPr>
          <w:rFonts w:ascii="仿宋_GB2312" w:eastAsia="仿宋_GB2312" w:cs="仿宋_GB2312" w:hint="eastAsia"/>
          <w:color w:val="000000"/>
          <w:spacing w:val="0"/>
          <w:kern w:val="0"/>
          <w:sz w:val="32"/>
          <w:szCs w:val="32"/>
          <w:lang w:eastAsia="zh-CN"/>
        </w:rPr>
        <w:t>无组织废气</w:t>
      </w:r>
      <w:r>
        <w:rPr>
          <w:rFonts w:ascii="仿宋_GB2312" w:eastAsia="仿宋_GB2312" w:cs="仿宋_GB2312"/>
          <w:color w:val="000000"/>
          <w:spacing w:val="0"/>
          <w:kern w:val="0"/>
          <w:sz w:val="32"/>
          <w:szCs w:val="32"/>
          <w:lang w:eastAsia="zh-CN"/>
        </w:rPr>
        <w:t>颗粒物</w:t>
      </w:r>
      <w:r>
        <w:rPr>
          <w:rFonts w:ascii="仿宋_GB2312" w:eastAsia="仿宋_GB2312" w:cs="仿宋_GB2312" w:hint="eastAsia"/>
          <w:color w:val="000000"/>
          <w:spacing w:val="0"/>
          <w:kern w:val="0"/>
          <w:sz w:val="32"/>
          <w:szCs w:val="32"/>
          <w:lang w:eastAsia="zh-CN"/>
        </w:rPr>
        <w:t>排放</w:t>
      </w:r>
      <w:r>
        <w:rPr>
          <w:rFonts w:ascii="仿宋_GB2312" w:eastAsia="仿宋_GB2312" w:cs="仿宋_GB2312"/>
          <w:color w:val="000000"/>
          <w:spacing w:val="0"/>
          <w:kern w:val="0"/>
          <w:sz w:val="32"/>
          <w:szCs w:val="32"/>
          <w:lang w:eastAsia="zh-CN"/>
        </w:rPr>
        <w:t>浓度</w:t>
      </w:r>
      <w:r>
        <w:rPr>
          <w:rFonts w:ascii="仿宋_GB2312" w:eastAsia="仿宋_GB2312" w:cs="仿宋_GB2312" w:hint="eastAsia"/>
          <w:color w:val="000000"/>
          <w:spacing w:val="0"/>
          <w:kern w:val="0"/>
          <w:sz w:val="32"/>
          <w:szCs w:val="32"/>
          <w:lang w:eastAsia="zh-CN"/>
        </w:rPr>
        <w:t>须满足</w:t>
      </w:r>
      <w:r>
        <w:rPr>
          <w:rFonts w:ascii="仿宋_GB2312" w:eastAsia="仿宋_GB2312" w:cs="仿宋_GB2312"/>
          <w:color w:val="000000"/>
          <w:spacing w:val="0"/>
          <w:kern w:val="0"/>
          <w:sz w:val="32"/>
          <w:szCs w:val="32"/>
          <w:lang w:eastAsia="zh-CN"/>
        </w:rPr>
        <w:t>《铁矿采选工业污染物排放标准》（GB28661-2012）表7大气污染物无组织排放浓度限值要求以及《秦皇岛市人民政府办公室关于执行钢铁等行业大气污染物排放特别要求的通知》</w:t>
      </w:r>
      <w:r>
        <w:rPr>
          <w:rFonts w:ascii="仿宋_GB2312" w:eastAsia="仿宋_GB2312" w:cs="仿宋_GB2312" w:hint="eastAsia"/>
          <w:color w:val="000000"/>
          <w:spacing w:val="0"/>
          <w:kern w:val="0"/>
          <w:sz w:val="32"/>
          <w:szCs w:val="32"/>
          <w:lang w:val="en-US" w:eastAsia="zh-CN" w:bidi="ar-SA"/>
        </w:rPr>
        <w:t>(［2021］—10)中厂界</w:t>
      </w:r>
      <w:r>
        <w:rPr>
          <w:rFonts w:ascii="仿宋_GB2312" w:eastAsia="仿宋_GB2312" w:cs="仿宋_GB2312"/>
          <w:color w:val="000000"/>
          <w:spacing w:val="0"/>
          <w:kern w:val="0"/>
          <w:sz w:val="32"/>
          <w:szCs w:val="32"/>
          <w:lang w:val="en-US" w:eastAsia="zh-CN" w:bidi="ar-SA"/>
        </w:rPr>
        <w:t>颗粒物</w:t>
      </w:r>
      <w:r>
        <w:rPr>
          <w:rFonts w:ascii="仿宋_GB2312" w:eastAsia="仿宋_GB2312" w:cs="仿宋_GB2312" w:hint="eastAsia"/>
          <w:color w:val="000000"/>
          <w:spacing w:val="0"/>
          <w:kern w:val="0"/>
          <w:sz w:val="32"/>
          <w:szCs w:val="32"/>
          <w:lang w:val="en-US" w:eastAsia="zh-CN" w:bidi="ar-SA"/>
        </w:rPr>
        <w:t>无组织排放浓度特别管控要求。</w:t>
      </w:r>
    </w:p>
    <w:p>
      <w:pPr>
        <w:pStyle w:val="16"/>
        <w:keepNext w:val="0"/>
        <w:keepLines w:val="0"/>
        <w:pageBreakBefore w:val="0"/>
        <w:widowControl w:val="0"/>
        <w:adjustRightInd w:val="0"/>
        <w:snapToGrid w:val="0"/>
        <w:spacing w:after="0" w:line="560" w:lineRule="exact"/>
        <w:ind w:left="0" w:firstLineChars="200" w:firstLine="640"/>
        <w:rPr>
          <w:rStyle w:val="0"/>
          <w:rFonts w:ascii="仿宋_GB2312" w:eastAsia="仿宋_GB2312" w:cs="仿宋_GB2312"/>
          <w:color w:val="000000"/>
          <w:kern w:val="0"/>
          <w:sz w:val="32"/>
          <w:szCs w:val="32"/>
        </w:rPr>
      </w:pPr>
      <w:r>
        <w:rPr>
          <w:rStyle w:val="0"/>
          <w:rFonts w:ascii="仿宋_GB2312" w:eastAsia="仿宋_GB2312" w:cs="仿宋_GB2312" w:hint="eastAsia"/>
          <w:color w:val="000000"/>
          <w:kern w:val="0"/>
          <w:sz w:val="32"/>
          <w:szCs w:val="32"/>
          <w:lang w:val="en-US"/>
        </w:rPr>
        <w:t>2.</w:t>
      </w:r>
      <w:r>
        <w:rPr>
          <w:rStyle w:val="0"/>
          <w:rFonts w:ascii="仿宋_GB2312" w:eastAsia="仿宋_GB2312" w:cs="仿宋_GB2312" w:hint="eastAsia"/>
          <w:color w:val="000000"/>
          <w:kern w:val="0"/>
          <w:sz w:val="32"/>
          <w:szCs w:val="32"/>
        </w:rPr>
        <w:t>严格落实各项水污染防治措施。</w:t>
      </w:r>
      <w:r>
        <w:rPr>
          <w:rStyle w:val="0"/>
          <w:rFonts w:ascii="仿宋_GB2312" w:eastAsia="仿宋_GB2312" w:cs="仿宋_GB2312"/>
          <w:color w:val="000000"/>
          <w:kern w:val="0"/>
          <w:sz w:val="32"/>
          <w:szCs w:val="32"/>
        </w:rPr>
        <w:t>本项目员工生活污水主要为盥洗废水，用于厂区泼洒抑尘，不外排。生产废水主要为喷雾抑尘废水、洗车废水、洗砂废水等。喷雾抑尘废水一部分蒸发损耗，其余随物料带走；洗车废水经沉淀池沉淀后循环使用不外排；洗砂、球磨、筛分废水通过污水处理设备絮凝沉淀处理后，回用于生产，循环使用不外排。项目设初期雨水收集，经过处理后用于生产。厂区靠近乔杖子沟一侧设置U型挡土墙，防止雨水等流向外界。</w:t>
      </w:r>
    </w:p>
    <w:p>
      <w:pPr>
        <w:pStyle w:val="16"/>
        <w:keepNext w:val="0"/>
        <w:keepLines w:val="0"/>
        <w:pageBreakBefore w:val="0"/>
        <w:widowControl w:val="0"/>
        <w:adjustRightInd w:val="0"/>
        <w:snapToGrid w:val="0"/>
        <w:spacing w:after="0" w:line="560" w:lineRule="exact"/>
        <w:ind w:left="0" w:firstLineChars="200" w:firstLine="640"/>
        <w:rPr>
          <w:rFonts w:eastAsia="仿宋_GB2312"/>
          <w:color w:val="000000"/>
        </w:rPr>
      </w:pPr>
      <w:r>
        <w:rPr>
          <w:rFonts w:ascii="仿宋_GB2312" w:eastAsia="仿宋_GB2312" w:cs="仿宋_GB2312" w:hint="eastAsia"/>
          <w:color w:val="000000"/>
          <w:spacing w:val="0"/>
          <w:kern w:val="0"/>
          <w:sz w:val="32"/>
          <w:szCs w:val="32"/>
          <w:lang w:val="en-US" w:eastAsia="zh-CN"/>
        </w:rPr>
        <w:t>3.</w:t>
      </w:r>
      <w:r>
        <w:rPr>
          <w:rFonts w:ascii="仿宋_GB2312" w:eastAsia="仿宋_GB2312" w:cs="仿宋_GB2312" w:hint="eastAsia"/>
          <w:color w:val="000000"/>
          <w:spacing w:val="0"/>
          <w:kern w:val="0"/>
          <w:sz w:val="32"/>
          <w:szCs w:val="32"/>
        </w:rPr>
        <w:t>严格落实各项噪声污染防治措施</w:t>
      </w:r>
      <w:r>
        <w:rPr>
          <w:rFonts w:ascii="仿宋_GB2312" w:eastAsia="仿宋_GB2312" w:cs="仿宋_GB2312" w:hint="eastAsia"/>
          <w:color w:val="000000"/>
          <w:spacing w:val="0"/>
          <w:kern w:val="0"/>
          <w:sz w:val="32"/>
          <w:szCs w:val="32"/>
          <w:lang w:eastAsia="zh-CN"/>
        </w:rPr>
        <w:t>，</w:t>
      </w:r>
      <w:r>
        <w:rPr>
          <w:rFonts w:ascii="仿宋_GB2312" w:eastAsia="仿宋_GB2312" w:cs="仿宋_GB2312"/>
          <w:color w:val="000000"/>
          <w:spacing w:val="0"/>
          <w:kern w:val="0"/>
          <w:sz w:val="32"/>
          <w:szCs w:val="32"/>
        </w:rPr>
        <w:t>严格控制生产过程产生的</w:t>
      </w:r>
      <w:r>
        <w:rPr>
          <w:rFonts w:ascii="仿宋_GB2312" w:eastAsia="仿宋_GB2312" w:cs="仿宋_GB2312" w:hint="eastAsia"/>
          <w:color w:val="000000"/>
          <w:spacing w:val="0"/>
          <w:kern w:val="0"/>
          <w:sz w:val="32"/>
          <w:szCs w:val="32"/>
        </w:rPr>
        <w:t>噪声对周围环境的影响。</w:t>
      </w:r>
      <w:r>
        <w:rPr>
          <w:rFonts w:ascii="仿宋_GB2312" w:eastAsia="仿宋_GB2312" w:cs="仿宋_GB2312"/>
          <w:color w:val="000000"/>
          <w:spacing w:val="0"/>
          <w:kern w:val="0"/>
          <w:sz w:val="32"/>
          <w:szCs w:val="32"/>
        </w:rPr>
        <w:t>厂区建设应合理布局，选用低噪声设备，同时采取必要的隔音、消声降噪措施，确保厂界噪声满足</w:t>
      </w:r>
      <w:r>
        <w:rPr>
          <w:rFonts w:ascii="仿宋_GB2312" w:eastAsia="仿宋_GB2312" w:cs="仿宋_GB2312" w:hint="eastAsia"/>
          <w:color w:val="000000"/>
          <w:spacing w:val="0"/>
          <w:kern w:val="0"/>
          <w:sz w:val="32"/>
          <w:szCs w:val="32"/>
          <w:lang w:val="en-US" w:eastAsia="zh-CN"/>
        </w:rPr>
        <w:t>《工业企业厂界环境噪声排放标准》（GB12348-2008）</w:t>
      </w:r>
      <w:r>
        <w:rPr>
          <w:rFonts w:ascii="仿宋_GB2312" w:eastAsia="仿宋_GB2312" w:cs="仿宋_GB2312"/>
          <w:color w:val="000000"/>
          <w:spacing w:val="0"/>
          <w:kern w:val="0"/>
          <w:sz w:val="32"/>
          <w:szCs w:val="32"/>
          <w:lang w:val="en-US" w:eastAsia="zh-CN"/>
        </w:rPr>
        <w:t>2类标准要求及所在功能区要求。</w:t>
      </w:r>
    </w:p>
    <w:p>
      <w:pPr>
        <w:pStyle w:val="16"/>
        <w:keepNext w:val="0"/>
        <w:keepLines w:val="0"/>
        <w:pageBreakBefore w:val="0"/>
        <w:widowControl w:val="0"/>
        <w:adjustRightInd w:val="0"/>
        <w:snapToGrid w:val="0"/>
        <w:spacing w:after="0" w:line="560" w:lineRule="exact"/>
        <w:ind w:left="0" w:firstLineChars="200" w:firstLine="640"/>
        <w:rPr>
          <w:rFonts w:ascii="仿宋_GB2312" w:eastAsia="仿宋_GB2312" w:cs="仿宋_GB2312"/>
          <w:color w:val="000000"/>
          <w:spacing w:val="0"/>
          <w:kern w:val="0"/>
          <w:sz w:val="32"/>
          <w:szCs w:val="32"/>
        </w:rPr>
      </w:pPr>
      <w:r>
        <w:rPr>
          <w:rFonts w:ascii="仿宋_GB2312" w:eastAsia="仿宋_GB2312" w:cs="仿宋_GB2312" w:hint="eastAsia"/>
          <w:color w:val="000000"/>
          <w:spacing w:val="0"/>
          <w:kern w:val="0"/>
          <w:sz w:val="32"/>
          <w:szCs w:val="32"/>
          <w:lang w:val="en-US" w:eastAsia="zh-CN"/>
        </w:rPr>
        <w:t>4.严格落实</w:t>
      </w:r>
      <w:r>
        <w:rPr>
          <w:rFonts w:ascii="仿宋_GB2312" w:eastAsia="仿宋_GB2312" w:cs="仿宋_GB2312" w:hint="eastAsia"/>
          <w:color w:val="000000"/>
          <w:spacing w:val="0"/>
          <w:kern w:val="0"/>
          <w:sz w:val="32"/>
          <w:szCs w:val="32"/>
        </w:rPr>
        <w:t>固体废物污染防治</w:t>
      </w:r>
      <w:r>
        <w:rPr>
          <w:rFonts w:ascii="仿宋_GB2312" w:eastAsia="仿宋_GB2312" w:cs="仿宋_GB2312" w:hint="eastAsia"/>
          <w:color w:val="000000"/>
          <w:spacing w:val="0"/>
          <w:kern w:val="0"/>
          <w:sz w:val="32"/>
          <w:szCs w:val="32"/>
          <w:lang w:val="en-US" w:eastAsia="zh-CN"/>
        </w:rPr>
        <w:t>措施</w:t>
      </w:r>
      <w:r>
        <w:rPr>
          <w:rFonts w:ascii="仿宋_GB2312" w:eastAsia="仿宋_GB2312" w:cs="仿宋_GB2312" w:hint="eastAsia"/>
          <w:color w:val="000000"/>
          <w:spacing w:val="0"/>
          <w:kern w:val="0"/>
          <w:sz w:val="32"/>
          <w:szCs w:val="32"/>
        </w:rPr>
        <w:t>。</w:t>
      </w:r>
      <w:r>
        <w:rPr>
          <w:rFonts w:ascii="仿宋_GB2312" w:eastAsia="仿宋_GB2312" w:cs="仿宋_GB2312"/>
          <w:color w:val="000000"/>
          <w:spacing w:val="0"/>
          <w:kern w:val="0"/>
          <w:sz w:val="32"/>
          <w:szCs w:val="32"/>
        </w:rPr>
        <w:t>严格按照有关规定以及《报告表》的相关要求，认真</w:t>
      </w:r>
      <w:r>
        <w:rPr>
          <w:rFonts w:ascii="仿宋_GB2312" w:eastAsia="仿宋_GB2312" w:cs="仿宋_GB2312" w:hint="eastAsia"/>
          <w:color w:val="000000"/>
          <w:spacing w:val="0"/>
          <w:kern w:val="0"/>
          <w:sz w:val="32"/>
          <w:szCs w:val="32"/>
        </w:rPr>
        <w:t>落实固体废物分类</w:t>
      </w:r>
      <w:r>
        <w:rPr>
          <w:rFonts w:ascii="仿宋_GB2312" w:eastAsia="仿宋_GB2312" w:cs="仿宋_GB2312"/>
          <w:color w:val="000000"/>
          <w:spacing w:val="0"/>
          <w:kern w:val="0"/>
          <w:sz w:val="32"/>
          <w:szCs w:val="32"/>
        </w:rPr>
        <w:t>处理、</w:t>
      </w:r>
      <w:r>
        <w:rPr>
          <w:rFonts w:ascii="仿宋_GB2312" w:eastAsia="仿宋_GB2312" w:cs="仿宋_GB2312" w:hint="eastAsia"/>
          <w:color w:val="000000"/>
          <w:spacing w:val="0"/>
          <w:kern w:val="0"/>
          <w:sz w:val="32"/>
          <w:szCs w:val="32"/>
        </w:rPr>
        <w:t>处置和综合利用措施</w:t>
      </w:r>
      <w:r>
        <w:rPr>
          <w:rFonts w:ascii="仿宋_GB2312" w:eastAsia="仿宋_GB2312" w:cs="仿宋_GB2312"/>
          <w:color w:val="000000"/>
          <w:spacing w:val="0"/>
          <w:kern w:val="0"/>
          <w:sz w:val="32"/>
          <w:szCs w:val="32"/>
        </w:rPr>
        <w:t>。</w:t>
      </w:r>
      <w:r>
        <w:rPr>
          <w:rFonts w:ascii="仿宋_GB2312" w:eastAsia="仿宋_GB2312" w:cs="仿宋_GB2312" w:hint="eastAsia"/>
          <w:color w:val="000000"/>
          <w:spacing w:val="0"/>
          <w:kern w:val="0"/>
          <w:sz w:val="32"/>
          <w:szCs w:val="32"/>
          <w:lang w:eastAsia="zh-CN"/>
        </w:rPr>
        <w:t>该</w:t>
      </w:r>
      <w:r>
        <w:rPr>
          <w:rFonts w:ascii="仿宋_GB2312" w:eastAsia="仿宋_GB2312" w:cs="仿宋_GB2312" w:hint="eastAsia"/>
          <w:color w:val="000000"/>
          <w:spacing w:val="0"/>
          <w:kern w:val="0"/>
          <w:sz w:val="32"/>
          <w:szCs w:val="32"/>
        </w:rPr>
        <w:t>项目产生的一般固体废物暂存、转移和处置须满足《中华人民共和国固体废物污染环境防治法》</w:t>
      </w:r>
      <w:r>
        <w:rPr>
          <w:rFonts w:ascii="仿宋_GB2312" w:eastAsia="仿宋_GB2312" w:cs="仿宋_GB2312" w:hint="eastAsia"/>
          <w:color w:val="000000"/>
          <w:spacing w:val="0"/>
          <w:kern w:val="0"/>
          <w:sz w:val="32"/>
          <w:szCs w:val="32"/>
          <w:lang w:eastAsia="zh-CN"/>
        </w:rPr>
        <w:t>等</w:t>
      </w:r>
      <w:r>
        <w:rPr>
          <w:rFonts w:ascii="仿宋_GB2312" w:eastAsia="仿宋_GB2312" w:cs="仿宋_GB2312"/>
          <w:color w:val="000000"/>
          <w:spacing w:val="0"/>
          <w:kern w:val="0"/>
          <w:sz w:val="32"/>
          <w:szCs w:val="32"/>
        </w:rPr>
        <w:t>法律法规和政策文件的规定</w:t>
      </w:r>
      <w:r>
        <w:rPr>
          <w:rFonts w:ascii="仿宋_GB2312" w:eastAsia="仿宋_GB2312" w:cs="仿宋_GB2312" w:hint="eastAsia"/>
          <w:color w:val="000000"/>
          <w:spacing w:val="0"/>
          <w:kern w:val="0"/>
          <w:sz w:val="32"/>
          <w:szCs w:val="32"/>
          <w:lang w:eastAsia="zh-CN"/>
        </w:rPr>
        <w:t>，</w:t>
      </w:r>
      <w:r>
        <w:rPr>
          <w:rFonts w:ascii="仿宋_GB2312" w:eastAsia="仿宋_GB2312" w:cs="仿宋_GB2312" w:hint="eastAsia"/>
          <w:color w:val="000000"/>
          <w:spacing w:val="0"/>
          <w:kern w:val="0"/>
          <w:sz w:val="32"/>
          <w:szCs w:val="32"/>
        </w:rPr>
        <w:t>同时还须</w:t>
      </w:r>
      <w:r>
        <w:rPr>
          <w:rFonts w:ascii="仿宋_GB2312" w:eastAsia="仿宋_GB2312" w:cs="仿宋_GB2312" w:hint="eastAsia"/>
          <w:color w:val="000000"/>
          <w:spacing w:val="0"/>
          <w:kern w:val="0"/>
          <w:sz w:val="32"/>
          <w:szCs w:val="32"/>
          <w:lang w:eastAsia="zh-CN"/>
        </w:rPr>
        <w:t>满足</w:t>
      </w:r>
      <w:r>
        <w:rPr>
          <w:rFonts w:ascii="仿宋_GB2312" w:eastAsia="仿宋_GB2312" w:cs="仿宋_GB2312" w:hint="eastAsia"/>
          <w:color w:val="000000"/>
          <w:spacing w:val="0"/>
          <w:kern w:val="0"/>
          <w:sz w:val="32"/>
          <w:szCs w:val="32"/>
        </w:rPr>
        <w:t>国家</w:t>
      </w:r>
      <w:r>
        <w:rPr>
          <w:rFonts w:ascii="仿宋_GB2312" w:eastAsia="仿宋_GB2312" w:cs="仿宋_GB2312" w:hint="eastAsia"/>
          <w:color w:val="000000"/>
          <w:spacing w:val="0"/>
          <w:kern w:val="0"/>
          <w:sz w:val="32"/>
          <w:szCs w:val="32"/>
          <w:lang w:eastAsia="zh-CN"/>
        </w:rPr>
        <w:t>和地方</w:t>
      </w:r>
      <w:r>
        <w:rPr>
          <w:rFonts w:ascii="仿宋_GB2312" w:eastAsia="仿宋_GB2312" w:cs="仿宋_GB2312" w:hint="eastAsia"/>
          <w:color w:val="000000"/>
          <w:spacing w:val="0"/>
          <w:kern w:val="0"/>
          <w:sz w:val="32"/>
          <w:szCs w:val="32"/>
        </w:rPr>
        <w:t>有关固废处置技术</w:t>
      </w:r>
      <w:r>
        <w:rPr>
          <w:rFonts w:ascii="仿宋_GB2312" w:eastAsia="仿宋_GB2312" w:cs="仿宋_GB2312" w:hint="eastAsia"/>
          <w:color w:val="000000"/>
          <w:spacing w:val="0"/>
          <w:kern w:val="0"/>
          <w:sz w:val="32"/>
          <w:szCs w:val="32"/>
          <w:lang w:eastAsia="zh-CN"/>
        </w:rPr>
        <w:t>规范的相关要求</w:t>
      </w:r>
      <w:r>
        <w:rPr>
          <w:rFonts w:ascii="仿宋_GB2312" w:eastAsia="仿宋_GB2312" w:cs="仿宋_GB2312" w:hint="eastAsia"/>
          <w:color w:val="000000"/>
          <w:spacing w:val="0"/>
          <w:kern w:val="0"/>
          <w:sz w:val="32"/>
          <w:szCs w:val="32"/>
        </w:rPr>
        <w:t>，确保处置过程不对环境造成二次污染</w:t>
      </w:r>
      <w:r>
        <w:rPr>
          <w:rFonts w:ascii="仿宋_GB2312" w:eastAsia="仿宋_GB2312" w:cs="仿宋_GB2312" w:hint="eastAsia"/>
          <w:color w:val="000000"/>
          <w:spacing w:val="0"/>
          <w:kern w:val="0"/>
          <w:sz w:val="32"/>
          <w:szCs w:val="32"/>
          <w:lang w:eastAsia="zh-CN"/>
        </w:rPr>
        <w:t>。该项目产生的危险废物须</w:t>
      </w:r>
      <w:r>
        <w:rPr>
          <w:rFonts w:ascii="仿宋_GB2312" w:eastAsia="仿宋_GB2312" w:cs="仿宋_GB2312" w:hint="eastAsia"/>
          <w:color w:val="000000"/>
          <w:spacing w:val="0"/>
          <w:kern w:val="0"/>
          <w:sz w:val="32"/>
          <w:szCs w:val="32"/>
        </w:rPr>
        <w:t>在危废暂存间</w:t>
      </w:r>
      <w:r>
        <w:rPr>
          <w:rFonts w:ascii="仿宋_GB2312" w:eastAsia="仿宋_GB2312" w:cs="仿宋_GB2312" w:hint="eastAsia"/>
          <w:color w:val="000000"/>
          <w:spacing w:val="0"/>
          <w:kern w:val="0"/>
          <w:sz w:val="32"/>
          <w:szCs w:val="32"/>
          <w:lang w:eastAsia="zh-CN"/>
        </w:rPr>
        <w:t>分类</w:t>
      </w:r>
      <w:r>
        <w:rPr>
          <w:rFonts w:ascii="仿宋_GB2312" w:eastAsia="仿宋_GB2312" w:cs="仿宋_GB2312" w:hint="eastAsia"/>
          <w:color w:val="000000"/>
          <w:spacing w:val="0"/>
          <w:kern w:val="0"/>
          <w:sz w:val="32"/>
          <w:szCs w:val="32"/>
        </w:rPr>
        <w:t>暂存</w:t>
      </w:r>
      <w:r>
        <w:rPr>
          <w:rFonts w:ascii="仿宋_GB2312" w:eastAsia="仿宋_GB2312" w:cs="仿宋_GB2312" w:hint="eastAsia"/>
          <w:color w:val="000000"/>
          <w:spacing w:val="0"/>
          <w:kern w:val="0"/>
          <w:sz w:val="32"/>
          <w:szCs w:val="32"/>
          <w:lang w:eastAsia="zh-CN"/>
        </w:rPr>
        <w:t>，并</w:t>
      </w:r>
      <w:r>
        <w:rPr>
          <w:rFonts w:ascii="仿宋_GB2312" w:eastAsia="仿宋_GB2312" w:cs="仿宋_GB2312" w:hint="eastAsia"/>
          <w:color w:val="000000"/>
          <w:spacing w:val="0"/>
          <w:kern w:val="0"/>
          <w:sz w:val="32"/>
          <w:szCs w:val="32"/>
        </w:rPr>
        <w:t>委托有危险废物处理资质的单位</w:t>
      </w:r>
      <w:r>
        <w:rPr>
          <w:rFonts w:ascii="仿宋_GB2312" w:eastAsia="仿宋_GB2312" w:cs="仿宋_GB2312" w:hint="eastAsia"/>
          <w:color w:val="000000"/>
          <w:spacing w:val="0"/>
          <w:kern w:val="0"/>
          <w:sz w:val="32"/>
          <w:szCs w:val="32"/>
          <w:lang w:val="en-US" w:eastAsia="zh-CN"/>
        </w:rPr>
        <w:t>依法依规</w:t>
      </w:r>
      <w:r>
        <w:rPr>
          <w:rFonts w:ascii="仿宋_GB2312" w:eastAsia="仿宋_GB2312" w:cs="仿宋_GB2312" w:hint="eastAsia"/>
          <w:color w:val="000000"/>
          <w:spacing w:val="0"/>
          <w:kern w:val="0"/>
          <w:sz w:val="32"/>
          <w:szCs w:val="32"/>
        </w:rPr>
        <w:t>处置</w:t>
      </w:r>
      <w:r>
        <w:rPr>
          <w:rFonts w:ascii="仿宋_GB2312" w:eastAsia="仿宋_GB2312" w:cs="仿宋_GB2312" w:hint="eastAsia"/>
          <w:color w:val="000000"/>
          <w:spacing w:val="0"/>
          <w:kern w:val="0"/>
          <w:sz w:val="32"/>
          <w:szCs w:val="32"/>
          <w:lang w:eastAsia="zh-CN"/>
        </w:rPr>
        <w:t>。</w:t>
      </w:r>
      <w:r>
        <w:rPr>
          <w:rFonts w:ascii="仿宋_GB2312" w:eastAsia="仿宋_GB2312" w:cs="仿宋_GB2312" w:hint="eastAsia"/>
          <w:color w:val="000000"/>
          <w:spacing w:val="0"/>
          <w:kern w:val="0"/>
          <w:sz w:val="32"/>
          <w:szCs w:val="32"/>
        </w:rPr>
        <w:t>危险废物暂存、转移和处置须满足《危险废物贮存污染控制标准》(GB18597-2001)及其修改单的相关要求，同时还须满足《危险废物收集 贮存 运输技术规范》（HJ2025</w:t>
      </w:r>
      <w:r>
        <w:rPr>
          <w:rFonts w:ascii="仿宋_GB2312" w:eastAsia="仿宋_GB2312" w:cs="仿宋_GB2312" w:hint="eastAsia"/>
          <w:color w:val="000000"/>
          <w:spacing w:val="0"/>
          <w:kern w:val="0"/>
          <w:sz w:val="32"/>
          <w:szCs w:val="32"/>
          <w:lang w:val="en-US" w:eastAsia="zh-CN"/>
        </w:rPr>
        <w:t>-2012</w:t>
      </w:r>
      <w:r>
        <w:rPr>
          <w:rFonts w:ascii="仿宋_GB2312" w:eastAsia="仿宋_GB2312" w:cs="仿宋_GB2312" w:hint="eastAsia"/>
          <w:color w:val="000000"/>
          <w:spacing w:val="0"/>
          <w:kern w:val="0"/>
          <w:sz w:val="32"/>
          <w:szCs w:val="32"/>
        </w:rPr>
        <w:t>）</w:t>
      </w:r>
      <w:r>
        <w:rPr>
          <w:rFonts w:ascii="仿宋_GB2312" w:eastAsia="仿宋_GB2312" w:cs="仿宋_GB2312"/>
          <w:color w:val="000000"/>
          <w:spacing w:val="0"/>
          <w:kern w:val="0"/>
          <w:sz w:val="32"/>
          <w:szCs w:val="32"/>
        </w:rPr>
        <w:t>和《秦皇岛市强化危险废物监管和利用处置能力改革行动方案》（秦政办字[2021]47号）</w:t>
      </w:r>
      <w:r>
        <w:rPr>
          <w:rFonts w:ascii="仿宋_GB2312" w:eastAsia="仿宋_GB2312" w:cs="仿宋_GB2312" w:hint="eastAsia"/>
          <w:color w:val="000000"/>
          <w:spacing w:val="0"/>
          <w:kern w:val="0"/>
          <w:sz w:val="32"/>
          <w:szCs w:val="32"/>
        </w:rPr>
        <w:t>相关要求。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textAlignment w:val="auto"/>
        <w:rPr>
          <w:rFonts w:ascii="仿宋_GB2312" w:eastAsia="仿宋_GB2312" w:cs="仿宋_GB2312"/>
          <w:color w:val="000000"/>
          <w:spacing w:val="0"/>
          <w:kern w:val="0"/>
          <w:sz w:val="32"/>
          <w:szCs w:val="32"/>
        </w:rPr>
      </w:pPr>
      <w:r>
        <w:rPr>
          <w:rFonts w:ascii="仿宋_GB2312" w:eastAsia="仿宋_GB2312" w:cs="仿宋_GB2312" w:hint="eastAsia"/>
          <w:color w:val="000000"/>
          <w:spacing w:val="0"/>
          <w:kern w:val="0"/>
          <w:sz w:val="32"/>
          <w:szCs w:val="32"/>
          <w:lang w:val="en-US" w:eastAsia="zh-CN"/>
        </w:rPr>
        <w:t>5.</w:t>
      </w:r>
      <w:r>
        <w:rPr>
          <w:rFonts w:ascii="仿宋_GB2312" w:eastAsia="仿宋_GB2312" w:cs="仿宋_GB2312" w:hint="eastAsia"/>
          <w:color w:val="000000"/>
          <w:spacing w:val="0"/>
          <w:kern w:val="0"/>
          <w:sz w:val="32"/>
          <w:szCs w:val="32"/>
        </w:rPr>
        <w:t>如国家和地方另有更严格的相关法律法规、</w:t>
      </w:r>
      <w:r>
        <w:rPr>
          <w:rFonts w:ascii="仿宋_GB2312" w:eastAsia="仿宋_GB2312" w:cs="仿宋_GB2312" w:hint="eastAsia"/>
          <w:color w:val="000000"/>
          <w:spacing w:val="0"/>
          <w:kern w:val="0"/>
          <w:sz w:val="32"/>
          <w:szCs w:val="32"/>
          <w:lang w:eastAsia="zh-CN"/>
        </w:rPr>
        <w:t>规章、</w:t>
      </w:r>
      <w:r>
        <w:rPr>
          <w:rFonts w:ascii="仿宋_GB2312" w:eastAsia="仿宋_GB2312" w:cs="仿宋_GB2312" w:hint="eastAsia"/>
          <w:color w:val="000000"/>
          <w:spacing w:val="0"/>
          <w:kern w:val="0"/>
          <w:sz w:val="32"/>
          <w:szCs w:val="32"/>
        </w:rPr>
        <w:t>标准以及生态环境监督管理要求的，按最严格规定执行。</w:t>
      </w:r>
    </w:p>
    <w:p>
      <w:pPr>
        <w:pStyle w:val="16"/>
        <w:keepNext w:val="0"/>
        <w:keepLines w:val="0"/>
        <w:pageBreakBefore w:val="0"/>
        <w:widowControl w:val="0"/>
        <w:bidi w:val="0"/>
        <w:adjustRightInd w:val="0"/>
        <w:snapToGrid w:val="0"/>
        <w:spacing w:after="0" w:line="560" w:lineRule="exact"/>
        <w:ind w:left="0" w:firstLineChars="200" w:firstLine="640"/>
        <w:rPr>
          <w:rFonts w:eastAsia="仿宋_GB2312"/>
          <w:color w:val="000000"/>
        </w:rPr>
      </w:pPr>
      <w:r>
        <w:rPr>
          <w:rFonts w:ascii="仿宋_GB2312" w:eastAsia="仿宋_GB2312" w:cs="仿宋_GB2312" w:hint="eastAsia"/>
          <w:color w:val="000000"/>
          <w:spacing w:val="0"/>
          <w:kern w:val="0"/>
          <w:sz w:val="32"/>
          <w:szCs w:val="32"/>
        </w:rPr>
        <w:t>三、强化环境风险防范和应急措施。制订完善的环境管理</w:t>
      </w:r>
      <w:r>
        <w:rPr>
          <w:rFonts w:ascii="仿宋_GB2312" w:eastAsia="仿宋_GB2312" w:cs="仿宋_GB2312" w:hint="eastAsia"/>
          <w:color w:val="000000"/>
          <w:spacing w:val="0"/>
          <w:kern w:val="0"/>
          <w:sz w:val="32"/>
          <w:szCs w:val="32"/>
          <w:lang w:val="en-US" w:eastAsia="zh-CN"/>
        </w:rPr>
        <w:t>和</w:t>
      </w:r>
      <w:r>
        <w:rPr>
          <w:rFonts w:ascii="仿宋_GB2312" w:eastAsia="仿宋_GB2312" w:cs="仿宋_GB2312" w:hint="eastAsia"/>
          <w:color w:val="000000"/>
          <w:spacing w:val="0"/>
          <w:kern w:val="0"/>
          <w:sz w:val="32"/>
          <w:szCs w:val="32"/>
        </w:rPr>
        <w:t>风险</w:t>
      </w:r>
      <w:r>
        <w:rPr>
          <w:rFonts w:ascii="仿宋_GB2312" w:eastAsia="仿宋_GB2312" w:cs="仿宋_GB2312" w:hint="eastAsia"/>
          <w:color w:val="000000"/>
          <w:spacing w:val="0"/>
          <w:kern w:val="0"/>
          <w:sz w:val="32"/>
          <w:szCs w:val="32"/>
          <w:lang w:val="en-US" w:eastAsia="zh-CN"/>
        </w:rPr>
        <w:t>防范</w:t>
      </w:r>
      <w:r>
        <w:rPr>
          <w:rFonts w:ascii="仿宋_GB2312" w:eastAsia="仿宋_GB2312" w:cs="仿宋_GB2312" w:hint="eastAsia"/>
          <w:color w:val="000000"/>
          <w:spacing w:val="0"/>
          <w:kern w:val="0"/>
          <w:sz w:val="32"/>
          <w:szCs w:val="32"/>
        </w:rPr>
        <w:t>措施，设施配备齐全，加强相关人员培训。加强风险源管控，严格落实《报告</w:t>
      </w:r>
      <w:r>
        <w:rPr>
          <w:rFonts w:ascii="仿宋_GB2312" w:eastAsia="仿宋_GB2312" w:cs="仿宋_GB2312" w:hint="eastAsia"/>
          <w:color w:val="000000"/>
          <w:spacing w:val="0"/>
          <w:kern w:val="0"/>
          <w:sz w:val="32"/>
          <w:szCs w:val="32"/>
          <w:lang w:eastAsia="zh-CN"/>
        </w:rPr>
        <w:t>表</w:t>
      </w:r>
      <w:r>
        <w:rPr>
          <w:rFonts w:ascii="仿宋_GB2312" w:eastAsia="仿宋_GB2312" w:cs="仿宋_GB2312" w:hint="eastAsia"/>
          <w:color w:val="000000"/>
          <w:spacing w:val="0"/>
          <w:kern w:val="0"/>
          <w:sz w:val="32"/>
          <w:szCs w:val="32"/>
        </w:rPr>
        <w:t>》中环境风险防范措施，制定突发环境事件应急预案，并报当地</w:t>
      </w:r>
      <w:r>
        <w:rPr>
          <w:rFonts w:ascii="仿宋_GB2312" w:eastAsia="仿宋_GB2312" w:cs="仿宋_GB2312" w:hint="eastAsia"/>
          <w:color w:val="000000"/>
          <w:spacing w:val="0"/>
          <w:kern w:val="0"/>
          <w:sz w:val="32"/>
          <w:szCs w:val="32"/>
          <w:lang w:eastAsia="zh-CN"/>
        </w:rPr>
        <w:t>生态环境</w:t>
      </w:r>
      <w:r>
        <w:rPr>
          <w:rFonts w:ascii="仿宋_GB2312" w:eastAsia="仿宋_GB2312" w:cs="仿宋_GB2312" w:hint="eastAsia"/>
          <w:color w:val="000000"/>
          <w:spacing w:val="0"/>
          <w:kern w:val="0"/>
          <w:sz w:val="32"/>
          <w:szCs w:val="32"/>
        </w:rPr>
        <w:t>部门备案，同时与当地政府及相关部门应急预案做好衔接，定期进行应急培训和演练，有效防范和应对环境风险。</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textAlignment w:val="auto"/>
        <w:rPr>
          <w:rFonts w:ascii="仿宋_GB2312" w:eastAsia="仿宋_GB2312" w:cs="仿宋_GB2312" w:hint="eastAsia"/>
          <w:color w:val="000000"/>
          <w:spacing w:val="0"/>
          <w:kern w:val="0"/>
          <w:sz w:val="32"/>
          <w:szCs w:val="32"/>
          <w:lang w:val="en-US" w:eastAsia="zh-CN" w:bidi="ar-SA"/>
        </w:rPr>
      </w:pPr>
      <w:r>
        <w:rPr>
          <w:rFonts w:ascii="仿宋_GB2312" w:eastAsia="仿宋_GB2312" w:cs="仿宋_GB2312" w:hint="eastAsia"/>
          <w:color w:val="000000"/>
          <w:spacing w:val="0"/>
          <w:kern w:val="0"/>
          <w:sz w:val="32"/>
          <w:szCs w:val="32"/>
        </w:rPr>
        <w:t>四、严格落实《报告</w:t>
      </w:r>
      <w:r>
        <w:rPr>
          <w:rFonts w:ascii="仿宋_GB2312" w:eastAsia="仿宋_GB2312" w:cs="仿宋_GB2312" w:hint="eastAsia"/>
          <w:color w:val="000000"/>
          <w:spacing w:val="0"/>
          <w:kern w:val="0"/>
          <w:sz w:val="32"/>
          <w:szCs w:val="32"/>
          <w:lang w:eastAsia="zh-CN"/>
        </w:rPr>
        <w:t>表</w:t>
      </w:r>
      <w:r>
        <w:rPr>
          <w:rFonts w:ascii="仿宋_GB2312" w:eastAsia="仿宋_GB2312" w:cs="仿宋_GB2312" w:hint="eastAsia"/>
          <w:color w:val="000000"/>
          <w:spacing w:val="0"/>
          <w:kern w:val="0"/>
          <w:sz w:val="32"/>
          <w:szCs w:val="32"/>
        </w:rPr>
        <w:t>》中各项环境管理要求及清洁生产措施。对</w:t>
      </w:r>
      <w:r>
        <w:rPr>
          <w:rFonts w:ascii="仿宋_GB2312" w:eastAsia="仿宋_GB2312" w:cs="仿宋_GB2312" w:hint="eastAsia"/>
          <w:color w:val="000000"/>
          <w:spacing w:val="0"/>
          <w:kern w:val="0"/>
          <w:sz w:val="32"/>
          <w:szCs w:val="32"/>
          <w:lang w:val="en-US" w:eastAsia="zh-CN"/>
        </w:rPr>
        <w:t>生产设施和</w:t>
      </w:r>
      <w:r>
        <w:rPr>
          <w:rFonts w:ascii="仿宋_GB2312" w:eastAsia="仿宋_GB2312" w:cs="仿宋_GB2312" w:hint="eastAsia"/>
          <w:color w:val="000000"/>
          <w:spacing w:val="0"/>
          <w:kern w:val="0"/>
          <w:sz w:val="32"/>
          <w:szCs w:val="32"/>
        </w:rPr>
        <w:t>污染防治设施</w:t>
      </w:r>
      <w:r>
        <w:rPr>
          <w:rFonts w:ascii="仿宋_GB2312" w:eastAsia="仿宋_GB2312" w:cs="仿宋_GB2312" w:hint="eastAsia"/>
          <w:color w:val="000000"/>
          <w:spacing w:val="0"/>
          <w:kern w:val="0"/>
          <w:sz w:val="32"/>
          <w:szCs w:val="32"/>
          <w:lang w:val="en-US" w:eastAsia="zh-CN"/>
        </w:rPr>
        <w:t>实行</w:t>
      </w:r>
      <w:r>
        <w:rPr>
          <w:rFonts w:ascii="仿宋_GB2312" w:eastAsia="仿宋_GB2312" w:cs="仿宋_GB2312" w:hint="eastAsia"/>
          <w:color w:val="000000"/>
          <w:spacing w:val="0"/>
          <w:kern w:val="0"/>
          <w:sz w:val="32"/>
          <w:szCs w:val="32"/>
        </w:rPr>
        <w:t>分表计电。企业须按照国家和地方排污许可有关规定，及时办理排污许可相关事宜。</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textAlignment w:val="auto"/>
        <w:rPr>
          <w:rFonts w:ascii="仿宋_GB2312" w:eastAsia="仿宋_GB2312" w:cs="仿宋_GB2312" w:hint="eastAsia"/>
          <w:color w:val="000000"/>
          <w:spacing w:val="0"/>
          <w:kern w:val="0"/>
          <w:sz w:val="32"/>
          <w:szCs w:val="32"/>
        </w:rPr>
      </w:pPr>
      <w:r>
        <w:rPr>
          <w:rFonts w:ascii="仿宋_GB2312" w:eastAsia="仿宋_GB2312" w:cs="仿宋_GB2312" w:hint="eastAsia"/>
          <w:color w:val="000000"/>
          <w:spacing w:val="0"/>
          <w:kern w:val="0"/>
          <w:sz w:val="32"/>
          <w:szCs w:val="32"/>
        </w:rPr>
        <w:t>五、在项目运营过程中，应建立畅通的公众参与平台，及时解决公众担忧的环境问题，满足公众合理的环境诉求。定期发布企业环境信息，主动接受社会监督。</w:t>
      </w:r>
    </w:p>
    <w:p>
      <w:pPr>
        <w:keepNext w:val="0"/>
        <w:keepLines w:val="0"/>
        <w:pageBreakBefore w:val="0"/>
        <w:widowControl w:val="0"/>
        <w:tabs>
          <w:tab w:val="left" w:pos="0"/>
          <w:tab w:val="left" w:pos="1155"/>
        </w:tabs>
        <w:kinsoku/>
        <w:wordWrap/>
        <w:overflowPunct/>
        <w:topLinePunct w:val="0"/>
        <w:bidi w:val="0"/>
        <w:adjustRightInd w:val="0"/>
        <w:snapToGrid w:val="0"/>
        <w:spacing w:line="560" w:lineRule="exact"/>
        <w:ind w:left="0" w:firstLineChars="200" w:firstLine="640"/>
        <w:textAlignment w:val="auto"/>
        <w:rPr>
          <w:rFonts w:ascii="仿宋_GB2312" w:eastAsia="仿宋_GB2312" w:cs="仿宋_GB2312" w:hint="eastAsia"/>
          <w:color w:val="000000"/>
          <w:spacing w:val="0"/>
          <w:kern w:val="0"/>
          <w:sz w:val="32"/>
          <w:szCs w:val="32"/>
          <w:shd w:val="clear" w:color="auto" w:fill="FFFFFF"/>
        </w:rPr>
      </w:pPr>
      <w:r>
        <w:rPr>
          <w:rFonts w:ascii="仿宋_GB2312" w:eastAsia="仿宋_GB2312" w:cs="仿宋_GB2312" w:hint="eastAsia"/>
          <w:color w:val="000000"/>
          <w:kern w:val="0"/>
          <w:sz w:val="32"/>
          <w:szCs w:val="32"/>
          <w:shd w:val="clear" w:color="auto" w:fill="FFFFFF"/>
        </w:rPr>
        <w:t>六、进一步</w:t>
      </w:r>
      <w:r>
        <w:rPr>
          <w:rFonts w:ascii="仿宋_GB2312" w:eastAsia="仿宋_GB2312" w:cs="仿宋_GB2312" w:hint="eastAsia"/>
          <w:color w:val="000000"/>
          <w:spacing w:val="0"/>
          <w:kern w:val="0"/>
          <w:sz w:val="32"/>
          <w:szCs w:val="32"/>
          <w:shd w:val="clear" w:color="auto" w:fill="FFFFFF"/>
        </w:rPr>
        <w:t>强化污染源管理工作。按照国家和地方有关规定，建设规范的污染物排放口，设立标志牌。</w:t>
      </w:r>
      <w:r>
        <w:rPr>
          <w:rFonts w:ascii="仿宋_GB2312" w:eastAsia="仿宋_GB2312" w:cs="仿宋_GB2312" w:hint="eastAsia"/>
          <w:color w:val="000000"/>
          <w:spacing w:val="0"/>
          <w:kern w:val="0"/>
          <w:sz w:val="32"/>
          <w:szCs w:val="32"/>
          <w:shd w:val="clear" w:color="auto" w:fill="FFFFFF"/>
          <w:lang w:eastAsia="zh-CN"/>
        </w:rPr>
        <w:t>同时还要严格按照环境监测管理规定和监测技术规范等相关要求以及《报告表》提出的相关监测要求，</w:t>
      </w:r>
      <w:r>
        <w:rPr>
          <w:rFonts w:ascii="仿宋_GB2312" w:eastAsia="仿宋_GB2312" w:cs="仿宋_GB2312" w:hint="eastAsia"/>
          <w:color w:val="000000"/>
          <w:spacing w:val="0"/>
          <w:kern w:val="0"/>
          <w:sz w:val="32"/>
          <w:szCs w:val="32"/>
          <w:shd w:val="clear" w:color="auto" w:fill="FFFFFF"/>
        </w:rPr>
        <w:t>设计、建设、维护永久性采样口、采样测试平台</w:t>
      </w:r>
      <w:r>
        <w:rPr>
          <w:rFonts w:ascii="仿宋_GB2312" w:eastAsia="仿宋_GB2312" w:cs="仿宋_GB2312" w:hint="eastAsia"/>
          <w:color w:val="000000"/>
          <w:spacing w:val="0"/>
          <w:kern w:val="0"/>
          <w:sz w:val="32"/>
          <w:szCs w:val="32"/>
          <w:shd w:val="clear" w:color="auto" w:fill="FFFFFF"/>
          <w:lang w:eastAsia="zh-CN"/>
        </w:rPr>
        <w:t>等，并认真落实各项监测工作要求。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Chars="200" w:firstLine="640"/>
        <w:textAlignment w:val="auto"/>
        <w:rPr>
          <w:rFonts w:ascii="仿宋_GB2312" w:eastAsia="仿宋_GB2312" w:cs="仿宋_GB2312"/>
          <w:color w:val="000000"/>
          <w:spacing w:val="0"/>
          <w:kern w:val="0"/>
          <w:sz w:val="32"/>
          <w:szCs w:val="32"/>
          <w:shd w:val="clear" w:color="auto" w:fill="FFFFFF"/>
        </w:rPr>
      </w:pPr>
      <w:r>
        <w:rPr>
          <w:rFonts w:ascii="仿宋_GB2312" w:eastAsia="仿宋_GB2312" w:cs="仿宋_GB2312" w:hint="eastAsia"/>
          <w:color w:val="000000"/>
          <w:spacing w:val="0"/>
          <w:kern w:val="0"/>
          <w:sz w:val="32"/>
          <w:szCs w:val="32"/>
          <w:shd w:val="clear" w:color="auto" w:fill="FFFFFF"/>
        </w:rPr>
        <w:t>七、项目建设必须严格执行配套建设的环境保护设施与主体工程同时设计、同时施工、同时投入使用的环境保护“三同时”制度。项目竣工后，须按规定开展环境保护设施竣工验收工作</w:t>
      </w:r>
      <w:r>
        <w:rPr>
          <w:rFonts w:ascii="仿宋_GB2312" w:eastAsia="仿宋_GB2312" w:cs="仿宋_GB2312" w:hint="eastAsia"/>
          <w:color w:val="000000"/>
          <w:spacing w:val="0"/>
          <w:kern w:val="0"/>
          <w:sz w:val="32"/>
          <w:szCs w:val="32"/>
          <w:shd w:val="clear" w:color="auto" w:fill="FFFFFF"/>
          <w:lang w:val="zh-CN" w:eastAsia="zh-CN"/>
        </w:rPr>
        <w:t>。</w:t>
      </w:r>
      <w:r>
        <w:rPr>
          <w:rFonts w:ascii="仿宋_GB2312" w:eastAsia="仿宋_GB2312" w:cs="仿宋_GB2312" w:hint="eastAsia"/>
          <w:color w:val="000000"/>
          <w:spacing w:val="0"/>
          <w:kern w:val="0"/>
          <w:sz w:val="32"/>
          <w:szCs w:val="32"/>
          <w:shd w:val="clear" w:color="auto" w:fill="FFFFFF"/>
        </w:rPr>
        <w:t>验收合格后，项目方可正式投入生产或者使用，未经验收或者验收不合格的，不得投入生产或者使用。本项目环境影响评价文件经批准后，如设计和施工变化造成工程性质、规模、工艺、防治污染的措施</w:t>
      </w:r>
      <w:r>
        <w:rPr>
          <w:rFonts w:ascii="仿宋_GB2312" w:eastAsia="仿宋_GB2312" w:cs="仿宋_GB2312" w:hint="eastAsia"/>
          <w:color w:val="000000"/>
          <w:spacing w:val="0"/>
          <w:kern w:val="0"/>
          <w:sz w:val="32"/>
          <w:szCs w:val="32"/>
          <w:shd w:val="clear" w:color="auto" w:fill="FFFFFF"/>
          <w:lang w:eastAsia="zh-CN"/>
        </w:rPr>
        <w:t>等</w:t>
      </w:r>
      <w:r>
        <w:rPr>
          <w:rFonts w:ascii="仿宋_GB2312" w:eastAsia="仿宋_GB2312" w:cs="仿宋_GB2312" w:hint="eastAsia"/>
          <w:color w:val="000000"/>
          <w:spacing w:val="0"/>
          <w:kern w:val="0"/>
          <w:sz w:val="32"/>
          <w:szCs w:val="32"/>
          <w:shd w:val="clear" w:color="auto" w:fill="FFFFFF"/>
        </w:rPr>
        <w:t>发生重大变动的，应当在调整前</w:t>
      </w:r>
      <w:r>
        <w:rPr>
          <w:rFonts w:ascii="仿宋_GB2312" w:eastAsia="仿宋_GB2312" w:cs="仿宋_GB2312" w:hint="eastAsia"/>
          <w:color w:val="000000"/>
          <w:spacing w:val="0"/>
          <w:kern w:val="0"/>
          <w:sz w:val="32"/>
          <w:szCs w:val="32"/>
          <w:shd w:val="clear" w:color="auto" w:fill="FFFFFF"/>
          <w:lang w:eastAsia="zh-CN"/>
        </w:rPr>
        <w:t>依法依规</w:t>
      </w:r>
      <w:r>
        <w:rPr>
          <w:rFonts w:ascii="仿宋_GB2312" w:eastAsia="仿宋_GB2312" w:cs="仿宋_GB2312" w:hint="eastAsia"/>
          <w:color w:val="000000"/>
          <w:spacing w:val="0"/>
          <w:kern w:val="0"/>
          <w:sz w:val="32"/>
          <w:szCs w:val="32"/>
          <w:shd w:val="clear" w:color="auto" w:fill="FFFFFF"/>
        </w:rPr>
        <w:t>重新报批本项目环境影响评价文件。</w:t>
      </w:r>
      <w:r>
        <w:rPr>
          <w:rFonts w:ascii="仿宋_GB2312" w:eastAsia="仿宋_GB2312" w:cs="仿宋_GB2312" w:hint="eastAsia"/>
          <w:color w:val="000000"/>
          <w:spacing w:val="0"/>
          <w:kern w:val="0"/>
          <w:sz w:val="32"/>
          <w:szCs w:val="32"/>
          <w:shd w:val="clear" w:color="auto" w:fill="FFFFFF"/>
          <w:lang w:eastAsia="zh-CN"/>
        </w:rPr>
        <w:t>项目</w:t>
      </w:r>
      <w:r>
        <w:rPr>
          <w:rFonts w:ascii="仿宋_GB2312" w:eastAsia="仿宋_GB2312" w:cs="仿宋_GB2312" w:hint="eastAsia"/>
          <w:color w:val="000000"/>
          <w:spacing w:val="0"/>
          <w:kern w:val="0"/>
          <w:sz w:val="32"/>
          <w:szCs w:val="32"/>
          <w:shd w:val="clear" w:color="auto" w:fill="FFFFFF"/>
        </w:rPr>
        <w:t>自批复之日起五年后方决定开工建设的，须将环评文件报行政审批部门重新审核。</w:t>
      </w:r>
    </w:p>
    <w:p>
      <w:pPr>
        <w:pStyle w:val="16"/>
        <w:keepNext w:val="0"/>
        <w:keepLines w:val="0"/>
        <w:pageBreakBefore w:val="0"/>
        <w:widowControl w:val="0"/>
        <w:adjustRightInd w:val="0"/>
        <w:snapToGrid w:val="0"/>
        <w:spacing w:after="0" w:line="560" w:lineRule="exact"/>
        <w:ind w:left="0" w:firstLineChars="200" w:firstLine="640"/>
        <w:rPr>
          <w:rFonts w:eastAsia="仿宋_GB2312" w:hint="eastAsia"/>
          <w:color w:val="000000"/>
        </w:rPr>
      </w:pPr>
      <w:r>
        <w:rPr>
          <w:rFonts w:ascii="仿宋_GB2312" w:eastAsia="仿宋_GB2312" w:cs="Helvetica"/>
          <w:color w:val="000000"/>
          <w:kern w:val="0"/>
          <w:sz w:val="32"/>
          <w:szCs w:val="32"/>
        </w:rPr>
        <w:t>八</w:t>
      </w:r>
      <w:r>
        <w:rPr>
          <w:rFonts w:ascii="仿宋_GB2312" w:eastAsia="仿宋_GB2312" w:cs="Helvetica" w:hint="eastAsia"/>
          <w:color w:val="000000"/>
          <w:kern w:val="0"/>
          <w:sz w:val="32"/>
          <w:szCs w:val="32"/>
        </w:rPr>
        <w:t>、如</w:t>
      </w:r>
      <w:r>
        <w:rPr>
          <w:rFonts w:ascii="仿宋_GB2312" w:eastAsia="仿宋_GB2312" w:cs="Helvetica"/>
          <w:color w:val="000000"/>
          <w:kern w:val="0"/>
          <w:sz w:val="32"/>
          <w:szCs w:val="32"/>
        </w:rPr>
        <w:t>该项目</w:t>
      </w:r>
      <w:r>
        <w:rPr>
          <w:rFonts w:ascii="仿宋_GB2312" w:eastAsia="仿宋_GB2312" w:cs="Helvetica" w:hint="eastAsia"/>
          <w:color w:val="000000"/>
          <w:kern w:val="0"/>
          <w:sz w:val="32"/>
          <w:szCs w:val="32"/>
        </w:rPr>
        <w:t>涉及</w:t>
      </w:r>
      <w:r>
        <w:rPr>
          <w:rFonts w:ascii="仿宋_GB2312" w:eastAsia="仿宋_GB2312" w:cs="Helvetica"/>
          <w:color w:val="000000"/>
          <w:kern w:val="0"/>
          <w:sz w:val="32"/>
          <w:szCs w:val="32"/>
        </w:rPr>
        <w:t>核与辐射类工程建设</w:t>
      </w:r>
      <w:r>
        <w:rPr>
          <w:rFonts w:ascii="仿宋_GB2312" w:eastAsia="仿宋_GB2312" w:cs="Helvetica" w:hint="eastAsia"/>
          <w:color w:val="000000"/>
          <w:kern w:val="0"/>
          <w:sz w:val="32"/>
          <w:szCs w:val="32"/>
        </w:rPr>
        <w:t>须</w:t>
      </w:r>
      <w:r>
        <w:rPr>
          <w:rFonts w:ascii="仿宋_GB2312" w:eastAsia="仿宋_GB2312" w:cs="Helvetica"/>
          <w:color w:val="000000"/>
          <w:kern w:val="0"/>
          <w:sz w:val="32"/>
          <w:szCs w:val="32"/>
        </w:rPr>
        <w:t>按照</w:t>
      </w:r>
      <w:r>
        <w:rPr>
          <w:rFonts w:ascii="仿宋_GB2312" w:eastAsia="仿宋_GB2312" w:cs="Helvetica" w:hint="eastAsia"/>
          <w:color w:val="000000"/>
          <w:kern w:val="0"/>
          <w:sz w:val="32"/>
          <w:szCs w:val="32"/>
        </w:rPr>
        <w:t>有关规定另行</w:t>
      </w:r>
      <w:r>
        <w:rPr>
          <w:rFonts w:ascii="仿宋_GB2312" w:eastAsia="仿宋_GB2312" w:cs="Helvetica"/>
          <w:color w:val="000000"/>
          <w:kern w:val="0"/>
          <w:sz w:val="32"/>
          <w:szCs w:val="32"/>
        </w:rPr>
        <w:t>办理核与辐射类项目相关环保手续</w:t>
      </w:r>
      <w:r>
        <w:rPr>
          <w:rFonts w:ascii="仿宋_GB2312" w:eastAsia="仿宋_GB2312" w:cs="Helvetica" w:hint="eastAsia"/>
          <w:color w:val="000000"/>
          <w:kern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Chars="200" w:firstLine="640"/>
        <w:textAlignment w:val="auto"/>
        <w:rPr>
          <w:rFonts w:ascii="仿宋_GB2312" w:eastAsia="仿宋_GB2312" w:cs="仿宋_GB2312" w:hint="eastAsia"/>
          <w:color w:val="000000"/>
          <w:spacing w:val="0"/>
          <w:kern w:val="0"/>
          <w:sz w:val="32"/>
          <w:szCs w:val="32"/>
          <w:shd w:val="clear" w:color="auto" w:fill="FFFFFF"/>
        </w:rPr>
      </w:pPr>
      <w:r>
        <w:rPr>
          <w:rFonts w:ascii="仿宋_GB2312" w:eastAsia="仿宋_GB2312" w:cs="仿宋_GB2312"/>
          <w:color w:val="000000"/>
          <w:spacing w:val="0"/>
          <w:kern w:val="0"/>
          <w:sz w:val="32"/>
          <w:szCs w:val="32"/>
          <w:shd w:val="clear" w:color="auto" w:fill="FFFFFF"/>
        </w:rPr>
        <w:t>九</w:t>
      </w:r>
      <w:r>
        <w:rPr>
          <w:rFonts w:ascii="仿宋_GB2312" w:eastAsia="仿宋_GB2312" w:cs="仿宋_GB2312" w:hint="eastAsia"/>
          <w:color w:val="000000"/>
          <w:spacing w:val="0"/>
          <w:kern w:val="0"/>
          <w:sz w:val="32"/>
          <w:szCs w:val="32"/>
          <w:shd w:val="clear" w:color="auto" w:fill="FFFFFF"/>
        </w:rPr>
        <w:t>、你公司在接到本批复后的10个工作日内，须将《报告</w:t>
      </w:r>
      <w:r>
        <w:rPr>
          <w:rFonts w:ascii="仿宋_GB2312" w:eastAsia="仿宋_GB2312" w:cs="仿宋_GB2312" w:hint="eastAsia"/>
          <w:color w:val="000000"/>
          <w:spacing w:val="0"/>
          <w:kern w:val="0"/>
          <w:sz w:val="32"/>
          <w:szCs w:val="32"/>
          <w:shd w:val="clear" w:color="auto" w:fill="FFFFFF"/>
          <w:lang w:eastAsia="zh-CN"/>
        </w:rPr>
        <w:t>表</w:t>
      </w:r>
      <w:r>
        <w:rPr>
          <w:rFonts w:ascii="仿宋_GB2312" w:eastAsia="仿宋_GB2312" w:cs="仿宋_GB2312" w:hint="eastAsia"/>
          <w:color w:val="000000"/>
          <w:spacing w:val="0"/>
          <w:kern w:val="0"/>
          <w:sz w:val="32"/>
          <w:szCs w:val="32"/>
          <w:shd w:val="clear" w:color="auto" w:fill="FFFFFF"/>
        </w:rPr>
        <w:t>》及其批复</w:t>
      </w:r>
      <w:r>
        <w:rPr>
          <w:rFonts w:ascii="仿宋_GB2312" w:eastAsia="仿宋_GB2312" w:cs="仿宋_GB2312" w:hint="eastAsia"/>
          <w:color w:val="000000"/>
          <w:spacing w:val="0"/>
          <w:kern w:val="0"/>
          <w:sz w:val="32"/>
          <w:szCs w:val="32"/>
          <w:shd w:val="clear" w:color="auto" w:fill="FFFFFF"/>
          <w:lang w:eastAsia="zh-CN"/>
        </w:rPr>
        <w:t>文件</w:t>
      </w:r>
      <w:r>
        <w:rPr>
          <w:rFonts w:ascii="仿宋_GB2312" w:eastAsia="仿宋_GB2312" w:cs="仿宋_GB2312" w:hint="eastAsia"/>
          <w:color w:val="000000"/>
          <w:spacing w:val="0"/>
          <w:kern w:val="0"/>
          <w:sz w:val="32"/>
          <w:szCs w:val="32"/>
          <w:shd w:val="clear" w:color="auto" w:fill="FFFFFF"/>
        </w:rPr>
        <w:t>送至秦皇岛市生态环境局</w:t>
      </w:r>
      <w:r>
        <w:rPr>
          <w:rFonts w:ascii="仿宋_GB2312" w:eastAsia="仿宋_GB2312" w:cs="仿宋_GB2312"/>
          <w:color w:val="000000"/>
          <w:spacing w:val="0"/>
          <w:kern w:val="0"/>
          <w:sz w:val="32"/>
          <w:szCs w:val="32"/>
          <w:shd w:val="clear" w:color="auto" w:fill="FFFFFF"/>
          <w:lang w:eastAsia="zh-CN"/>
        </w:rPr>
        <w:t>青龙满族自治县</w:t>
      </w:r>
      <w:r>
        <w:rPr>
          <w:rFonts w:ascii="仿宋_GB2312" w:eastAsia="仿宋_GB2312" w:cs="仿宋_GB2312" w:hint="eastAsia"/>
          <w:color w:val="000000"/>
          <w:spacing w:val="0"/>
          <w:kern w:val="0"/>
          <w:sz w:val="32"/>
          <w:szCs w:val="32"/>
          <w:shd w:val="clear" w:color="auto" w:fill="FFFFFF"/>
        </w:rPr>
        <w:t>分局</w:t>
      </w:r>
      <w:r>
        <w:rPr>
          <w:rFonts w:ascii="仿宋_GB2312" w:eastAsia="仿宋_GB2312" w:cs="仿宋_GB2312" w:hint="eastAsia"/>
          <w:color w:val="000000"/>
          <w:spacing w:val="0"/>
          <w:kern w:val="0"/>
          <w:sz w:val="32"/>
          <w:szCs w:val="32"/>
          <w:lang w:val="en-US" w:eastAsia="zh-CN"/>
        </w:rPr>
        <w:t>备案</w:t>
      </w:r>
      <w:r>
        <w:rPr>
          <w:rFonts w:ascii="仿宋_GB2312" w:eastAsia="仿宋_GB2312" w:cs="仿宋_GB2312" w:hint="eastAsia"/>
          <w:color w:val="000000"/>
          <w:spacing w:val="0"/>
          <w:kern w:val="0"/>
          <w:sz w:val="32"/>
          <w:szCs w:val="32"/>
          <w:shd w:val="clear" w:color="auto" w:fill="FFFFFF"/>
        </w:rPr>
        <w:t xml:space="preserve">，并按规定接受各级生态环境行政主管部门的监督检查。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Chars="1600" w:firstLine="5120"/>
        <w:textAlignment w:val="auto"/>
        <w:rPr>
          <w:rFonts w:ascii="仿宋_GB2312" w:eastAsia="仿宋_GB2312" w:cs="仿宋_GB2312" w:hint="eastAsia"/>
          <w:color w:val="000000"/>
          <w:spacing w:val="0"/>
          <w:kern w:val="0"/>
          <w:sz w:val="32"/>
          <w:szCs w:val="32"/>
          <w:shd w:val="clear" w:color="auto" w:fill="FFFFFF"/>
        </w:rPr>
      </w:pPr>
    </w:p>
    <w:p>
      <w:pPr>
        <w:pStyle w:val="16"/>
        <w:adjustRightInd w:val="0"/>
        <w:snapToGrid w:val="0"/>
        <w:spacing w:after="0" w:line="560" w:lineRule="exact"/>
        <w:rPr>
          <w:rFonts w:eastAsia="仿宋_GB2312" w:hint="eastAsia"/>
          <w:color w:val="000000"/>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Chars="1600" w:firstLine="5120"/>
        <w:textAlignment w:val="auto"/>
        <w:rPr>
          <w:rFonts w:ascii="仿宋_GB2312" w:eastAsia="仿宋_GB2312" w:cs="仿宋_GB2312"/>
          <w:color w:val="000000"/>
          <w:spacing w:val="0"/>
          <w:kern w:val="0"/>
          <w:sz w:val="32"/>
          <w:szCs w:val="32"/>
          <w:shd w:val="clear" w:color="auto" w:fill="FFFFFF"/>
        </w:rPr>
      </w:pPr>
      <w:r>
        <w:rPr>
          <w:rFonts w:ascii="仿宋_GB2312" w:eastAsia="仿宋_GB2312" w:cs="仿宋_GB2312" w:hint="eastAsia"/>
          <w:color w:val="000000"/>
          <w:spacing w:val="0"/>
          <w:kern w:val="0"/>
          <w:sz w:val="32"/>
          <w:szCs w:val="32"/>
          <w:shd w:val="clear" w:color="auto" w:fill="FFFFFF"/>
        </w:rPr>
        <w:t>秦皇岛市行政审批局</w:t>
      </w:r>
    </w:p>
    <w:p>
      <w:pPr>
        <w:keepNext w:val="0"/>
        <w:keepLines w:val="0"/>
        <w:pageBreakBefore w:val="0"/>
        <w:widowControl w:val="0"/>
        <w:kinsoku/>
        <w:wordWrap/>
        <w:overflowPunct/>
        <w:topLinePunct w:val="0"/>
        <w:adjustRightInd w:val="0"/>
        <w:snapToGrid w:val="0"/>
        <w:spacing w:line="560" w:lineRule="exact"/>
        <w:ind w:firstLineChars="1700" w:firstLine="5440"/>
        <w:rPr>
          <w:rFonts w:ascii="仿宋_GB2312" w:eastAsia="仿宋_GB2312" w:cs="Helvetica" w:hint="eastAsia"/>
          <w:color w:val="000000"/>
          <w:kern w:val="0"/>
          <w:sz w:val="32"/>
          <w:szCs w:val="32"/>
        </w:rPr>
      </w:pPr>
      <w:r>
        <w:rPr>
          <w:rFonts w:ascii="仿宋_GB2312" w:eastAsia="仿宋_GB2312" w:cs="仿宋_GB2312" w:hint="eastAsia"/>
          <w:color w:val="000000"/>
          <w:spacing w:val="0"/>
          <w:kern w:val="0"/>
          <w:sz w:val="32"/>
          <w:szCs w:val="32"/>
          <w:shd w:val="clear" w:color="auto" w:fill="FFFFFF"/>
        </w:rPr>
        <w:t>202</w:t>
      </w:r>
      <w:r>
        <w:rPr>
          <w:rFonts w:ascii="仿宋_GB2312" w:eastAsia="仿宋_GB2312" w:cs="仿宋_GB2312"/>
          <w:color w:val="000000"/>
          <w:spacing w:val="0"/>
          <w:kern w:val="0"/>
          <w:sz w:val="32"/>
          <w:szCs w:val="32"/>
          <w:shd w:val="clear" w:color="auto" w:fill="FFFFFF"/>
        </w:rPr>
        <w:t>2</w:t>
      </w:r>
      <w:r>
        <w:rPr>
          <w:rFonts w:ascii="仿宋_GB2312" w:eastAsia="仿宋_GB2312" w:cs="仿宋_GB2312" w:hint="eastAsia"/>
          <w:color w:val="000000"/>
          <w:spacing w:val="0"/>
          <w:kern w:val="0"/>
          <w:sz w:val="32"/>
          <w:szCs w:val="32"/>
          <w:shd w:val="clear" w:color="auto" w:fill="FFFFFF"/>
        </w:rPr>
        <w:t>年</w:t>
      </w:r>
      <w:r>
        <w:rPr>
          <w:rFonts w:ascii="仿宋_GB2312" w:eastAsia="仿宋_GB2312" w:cs="仿宋_GB2312" w:hint="eastAsia"/>
          <w:color w:val="000000"/>
          <w:spacing w:val="0"/>
          <w:kern w:val="0"/>
          <w:sz w:val="32"/>
          <w:szCs w:val="32"/>
          <w:shd w:val="clear" w:color="auto" w:fill="FFFFFF"/>
          <w:lang w:val="en-US" w:eastAsia="zh-CN"/>
        </w:rPr>
        <w:t>1</w:t>
      </w:r>
      <w:r>
        <w:rPr>
          <w:rFonts w:ascii="仿宋_GB2312" w:eastAsia="仿宋_GB2312" w:cs="仿宋_GB2312" w:hint="eastAsia"/>
          <w:color w:val="000000"/>
          <w:spacing w:val="0"/>
          <w:kern w:val="0"/>
          <w:sz w:val="32"/>
          <w:szCs w:val="32"/>
          <w:shd w:val="clear" w:color="auto" w:fill="FFFFFF"/>
        </w:rPr>
        <w:t>月</w:t>
      </w:r>
      <w:r>
        <w:rPr>
          <w:rFonts w:ascii="仿宋_GB2312" w:eastAsia="仿宋_GB2312" w:cs="仿宋_GB2312"/>
          <w:color w:val="000000"/>
          <w:spacing w:val="0"/>
          <w:kern w:val="0"/>
          <w:sz w:val="32"/>
          <w:szCs w:val="32"/>
          <w:shd w:val="clear" w:color="auto" w:fill="FFFFFF"/>
        </w:rPr>
        <w:t>1</w:t>
      </w:r>
      <w:r>
        <w:rPr>
          <w:rFonts w:ascii="仿宋_GB2312" w:eastAsia="仿宋_GB2312" w:cs="仿宋_GB2312"/>
          <w:color w:val="000000"/>
          <w:spacing w:val="0"/>
          <w:kern w:val="0"/>
          <w:sz w:val="32"/>
          <w:szCs w:val="32"/>
          <w:shd w:val="clear" w:color="auto" w:fill="FFFFFF"/>
          <w:lang w:val="en-US" w:eastAsia="zh-CN"/>
        </w:rPr>
        <w:t>0</w:t>
      </w:r>
      <w:r>
        <w:rPr>
          <w:rFonts w:ascii="仿宋_GB2312" w:eastAsia="仿宋_GB2312" w:cs="仿宋_GB2312" w:hint="eastAsia"/>
          <w:color w:val="000000"/>
          <w:spacing w:val="0"/>
          <w:kern w:val="0"/>
          <w:sz w:val="32"/>
          <w:szCs w:val="32"/>
          <w:shd w:val="clear" w:color="auto" w:fill="FFFFFF"/>
        </w:rPr>
        <w:t>日</w:t>
      </w:r>
    </w:p>
    <w:sectPr>
      <w:footerReference w:type="default" r:id="rId2"/>
      <w:pgSz w:w="11906" w:h="16838"/>
      <w:pgMar w:top="1984" w:right="1474" w:bottom="1871" w:left="1587" w:header="851" w:footer="992" w:gutter="0"/>
      <w:pgNumType w:fmt="numberInDash"/>
      <w:docGrid w:type="lines" w:linePitch="316"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0"/>
    <w:family w:val="auto"/>
    <w:pitch w:val="variable"/>
    <w:sig w:usb0="00000003" w:usb1="288F0000" w:usb2="00000006" w:usb3="00000000" w:csb0="00040001" w:csb1="00000000"/>
  </w:font>
  <w:font w:name="Times New Roman">
    <w:panose1 w:val="02020603050405020304"/>
    <w:charset w:val="81"/>
    <w:family w:val="auto"/>
    <w:pitch w:val="variable"/>
    <w:sig w:usb0="E0002AFF" w:usb1="C0007841" w:usb2="00000009" w:usb3="00000000" w:csb0="400001FF" w:csb1="FFFF0000"/>
  </w:font>
  <w:font w:name="仿宋_GB2312">
    <w:panose1 w:val="02010609030101010101"/>
    <w:charset w:val="86"/>
    <w:family w:val="modern"/>
    <w:pitch w:val="variable"/>
    <w:sig w:usb0="00000001" w:usb1="080E0000" w:usb2="00000000" w:usb3="00000000" w:csb0="00040000" w:csb1="00000000"/>
  </w:font>
  <w:font w:name="方正小标宋简体">
    <w:altName w:val="仿宋_GB2312"/>
    <w:panose1 w:val="00000000000000000000"/>
    <w:charset w:val="86"/>
    <w:family w:val="auto"/>
    <w:pitch w:val="variable"/>
    <w:sig w:usb0="00000000" w:usb1="00000000" w:usb2="00000000" w:usb3="00000000" w:csb0="00040000" w:csb1="00000000"/>
  </w:font>
  <w:font w:name="仿宋">
    <w:panose1 w:val="02010609060101010101"/>
    <w:charset w:val="86"/>
    <w:family w:val="auto"/>
    <w:pitch w:val="variable"/>
    <w:sig w:usb0="800002BF" w:usb1="38CF7CFA" w:usb2="00000016" w:usb3="00000000" w:csb0="00040001" w:csb1="00000000"/>
  </w:font>
  <w:font w:name="Helvetica">
    <w:altName w:val="Arial"/>
    <w:panose1 w:val="020B0604020202020204"/>
    <w:charset w:val="00"/>
    <w:family w:val="swiss"/>
    <w:pitch w:val="variable"/>
    <w:sig w:usb0="00000000" w:usb1="00000000" w:usb2="00000000" w:usb3="00000000" w:csb0="00000001" w:csb1="00000000"/>
  </w:font>
  <w:font w:name="Calibri">
    <w:panose1 w:val="020F0502020204030204"/>
    <w:charset w:val="00"/>
    <w:family w:val="swiss"/>
    <w:pitch w:val="variable"/>
    <w:sig w:usb0="E00002FF" w:usb1="4000ACFF" w:usb2="00000001" w:usb3="00000000" w:csb0="2000019F" w:csb1="00000000"/>
  </w:font>
  <w:font w:name="黑体">
    <w:panose1 w:val="02010609060101010101"/>
    <w:charset w:val="86"/>
    <w:family w:val="auto"/>
    <w:pitch w:val="variable"/>
    <w:sig w:usb0="800002BF" w:usb1="38CF7CFA" w:usb2="00000016" w:usb3="00000000" w:csb0="00040001" w:csb1="00000000"/>
  </w:font>
  <w:font w:name="Courier New">
    <w:panose1 w:val="02070309020205020404"/>
    <w:charset w:val="01"/>
    <w:family w:val="modern"/>
    <w:pitch w:val="variable"/>
    <w:sig w:usb0="E0002AFF" w:usb1="C0007843"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1"/>
      <w:tabs>
        <w:tab w:val="center" w:pos="4153"/>
        <w:tab w:val="right" w:pos="8306"/>
      </w:tabs>
    </w:pPr>
    <w:r>
      <mc:AlternateContent>
        <mc:Choice Requires="wps">
          <w:drawing>
            <wp:anchor distT="0" distB="0" distL="114298" distR="114298" simplePos="0" relativeHeight="21" behindDoc="0" locked="0" layoutInCell="1" hidden="0" allowOverlap="1">
              <wp:simplePos x="0" y="0"/>
              <wp:positionH relativeFrom="margin">
                <wp:align>outside</wp:align>
              </wp:positionH>
              <wp:positionV relativeFrom="paragraph">
                <wp:posOffset>0</wp:posOffset>
              </wp:positionV>
              <wp:extent cx="444499" cy="230251"/>
              <wp:effectExtent l="0" t="0" r="0" b="0"/>
              <wp:wrapNone/>
              <wp:docPr id="1" name="文本框 1"/>
              <wp:cNvGraphicFramePr>
                <a:graphicFrameLocks noChangeAspect="0"/>
              </wp:cNvGraphicFramePr>
              <a:graphic>
                <a:graphicData uri="http://schemas.microsoft.com/office/word/2010/wordprocessingShape">
                  <wps:wsp>
                    <wps:cNvSpPr/>
                    <wps:spPr>
                      <a:xfrm rot="0">
                        <a:off x="0" y="0"/>
                        <a:ext cx="444499" cy="230251"/>
                      </a:xfrm>
                      <a:prstGeom prst="rect"/>
                      <a:noFill/>
                      <a:ln w="9525" cmpd="sng" cap="flat">
                        <a:noFill/>
                        <a:prstDash val="solid"/>
                        <a:round/>
                      </a:ln>
                    </wps:spPr>
                    <wps:txbx id="2">
                      <w:txbxContent>
                        <w:p>
                          <w:pPr>
                            <w:pStyle w:val="21"/>
                            <w:tabs>
                              <w:tab w:val="center" w:pos="4153"/>
                              <w:tab w:val="right" w:pos="8306"/>
                            </w:tabs>
                            <w:rPr>
                              <w:rFonts w:ascii="宋体" w:cs="宋体"/>
                              <w:sz w:val="28"/>
                              <w:szCs w:val="28"/>
                            </w:rPr>
                          </w:pPr>
                          <w:r>
                            <w:rPr>
                              <w:rFonts w:ascii="宋体" w:cs="宋体" w:hint="eastAsia"/>
                              <w:sz w:val="28"/>
                              <w:szCs w:val="28"/>
                            </w:rPr>
                            <w:fldChar w:fldCharType="begin"/>
                          </w:r>
                          <w:r>
                            <w:rPr>
                              <w:rFonts w:ascii="宋体" w:cs="宋体" w:hint="eastAsia"/>
                              <w:sz w:val="28"/>
                              <w:szCs w:val="28"/>
                            </w:rPr>
                            <w:instrText xml:space="preserve"> PAGE  \* MERGEFORMAT </w:instrText>
                          </w:r>
                          <w:r>
                            <w:rPr>
                              <w:rFonts w:ascii="宋体" w:cs="宋体" w:hint="eastAsia"/>
                              <w:sz w:val="28"/>
                              <w:szCs w:val="28"/>
                            </w:rPr>
                            <w:fldChar w:fldCharType="separate"/>
                          </w:r>
                          <w:r>
                            <w:rPr>
                              <w:rFonts w:ascii="宋体" w:cs="宋体"/>
                              <w:sz w:val="28"/>
                              <w:szCs w:val="28"/>
                            </w:rPr>
                            <w:t>- 7 -</w:t>
                          </w:r>
                          <w:r>
                            <w:rPr>
                              <w:rFonts w:ascii="宋体" w:cs="宋体" w:hint="eastAsia"/>
                              <w:sz w:val="28"/>
                              <w:szCs w:val="28"/>
                            </w:rPr>
                            <w:fldChar w:fldCharType="end"/>
                          </w:r>
                        </w:p>
                      </w:txbxContent>
                    </wps:txbx>
                    <wps:bodyPr vert="horz" wrap="none" lIns="0" tIns="0" rIns="0" bIns="0" anchor="t" anchorCtr="0" upright="0">
                      <a:spAutoFit/>
                    </wps:bodyPr>
                  </wps:wsp>
                </a:graphicData>
              </a:graphic>
            </wp:anchor>
          </w:drawing>
        </mc:Choice>
        <mc:Fallback>
          <w:pict>
            <v:shape type="#_x0000_t202" id="文本框 1 3" o:spid="_x0000_s3" filled="f" stroked="f" style="position:absolute;margin-left:0.0pt;margin-top:0.0pt;width:34.999996pt;height:18.130003pt;z-index:21;mso-position-horizontal:outside;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21"/>
                      <w:tabs>
                        <w:tab w:val="center" w:pos="4153"/>
                        <w:tab w:val="right" w:pos="8306"/>
                      </w:tabs>
                      <w:rPr>
                        <w:rFonts w:ascii="宋体" w:cs="宋体"/>
                        <w:sz w:val="28"/>
                        <w:szCs w:val="28"/>
                      </w:rPr>
                    </w:pPr>
                    <w:r>
                      <w:rPr>
                        <w:rFonts w:ascii="宋体" w:cs="宋体" w:hint="eastAsia"/>
                        <w:sz w:val="28"/>
                        <w:szCs w:val="28"/>
                      </w:rPr>
                      <w:fldChar w:fldCharType="begin"/>
                    </w:r>
                    <w:r>
                      <w:rPr>
                        <w:rFonts w:ascii="宋体" w:cs="宋体" w:hint="eastAsia"/>
                        <w:sz w:val="28"/>
                        <w:szCs w:val="28"/>
                      </w:rPr>
                      <w:instrText xml:space="preserve"> PAGE  \* MERGEFORMAT </w:instrText>
                    </w:r>
                    <w:r>
                      <w:rPr>
                        <w:rFonts w:ascii="宋体" w:cs="宋体" w:hint="eastAsia"/>
                        <w:sz w:val="28"/>
                        <w:szCs w:val="28"/>
                      </w:rPr>
                      <w:fldChar w:fldCharType="separate"/>
                    </w:r>
                    <w:r>
                      <w:rPr>
                        <w:rFonts w:ascii="宋体" w:cs="宋体"/>
                        <w:sz w:val="28"/>
                        <w:szCs w:val="28"/>
                      </w:rPr>
                      <w:t>- 7 -</w:t>
                    </w:r>
                    <w:r>
                      <w:rPr>
                        <w:rFonts w:ascii="宋体" w:cs="宋体" w:hint="eastAsia"/>
                        <w:sz w:val="28"/>
                        <w:szCs w:val="28"/>
                      </w:rPr>
                      <w:fldChar w:fldCharType="end"/>
                    </w:r>
                  </w:p>
                </w:txbxContent>
              </v:textbox>
            </v:shape>
          </w:pict>
        </mc:Fallback>
      </mc:AlternateContent>
    </w:r>
    <w:r>
      <mc:AlternateContent>
        <mc:Choice Requires="wps">
          <w:drawing>
            <wp:anchor distT="0" distB="0" distL="114298" distR="114298" simplePos="0" relativeHeight="17" behindDoc="0" locked="0" layoutInCell="1" hidden="0" allowOverlap="1">
              <wp:simplePos x="0" y="0"/>
              <wp:positionH relativeFrom="margin">
                <wp:align>outside</wp:align>
              </wp:positionH>
              <wp:positionV relativeFrom="paragraph">
                <wp:posOffset>0</wp:posOffset>
              </wp:positionV>
              <wp:extent cx="9524" cy="139560"/>
              <wp:effectExtent l="0" t="0" r="0" b="0"/>
              <wp:wrapNone/>
              <wp:docPr id="4" name="文本框 2"/>
              <wp:cNvGraphicFramePr>
                <a:graphicFrameLocks noChangeAspect="0"/>
              </wp:cNvGraphicFramePr>
              <a:graphic>
                <a:graphicData uri="http://schemas.microsoft.com/office/word/2010/wordprocessingShape">
                  <wps:wsp>
                    <wps:cNvSpPr/>
                    <wps:spPr>
                      <a:xfrm rot="0">
                        <a:off x="0" y="0"/>
                        <a:ext cx="9524" cy="139560"/>
                      </a:xfrm>
                      <a:prstGeom prst="rect"/>
                      <a:noFill/>
                      <a:ln w="9525" cmpd="sng" cap="flat">
                        <a:noFill/>
                        <a:prstDash val="solid"/>
                        <a:round/>
                      </a:ln>
                    </wps:spPr>
                    <wps:txbx id="5">
                      <w:txbxContent>
                        <w:p>
                          <w:pPr>
                            <w:pStyle w:val="21"/>
                            <w:tabs>
                              <w:tab w:val="center" w:pos="4153"/>
                              <w:tab w:val="right" w:pos="8306"/>
                            </w:tabs>
                          </w:pPr>
                        </w:p>
                      </w:txbxContent>
                    </wps:txbx>
                    <wps:bodyPr vert="horz" wrap="none" lIns="0" tIns="0" rIns="0" bIns="0" anchor="t" anchorCtr="0" upright="0">
                      <a:spAutoFit/>
                    </wps:bodyPr>
                  </wps:wsp>
                </a:graphicData>
              </a:graphic>
            </wp:anchor>
          </w:drawing>
        </mc:Choice>
        <mc:Fallback>
          <w:pict>
            <v:shape type="#_x0000_t202" id="文本框 2 6" o:spid="_x0000_s6" filled="f" stroked="f" style="position:absolute;margin-left:0.0pt;margin-top:0.0pt;width:0.74998856pt;height:10.988999pt;z-index:17;mso-position-horizontal:outside;mso-position-horizontal-relative:margin;mso-position-vertical:absolute;mso-wrap-distance-left:8.999863pt;mso-wrap-distance-right:8.999863pt;mso-wrap-style:none;">
              <v:stroke color="#000000"/>
              <v:textbox id="849" inset="0mm,0mm,0mm,0mm" o:insetmode="custom" style="layout-flow:horizontal;v-text-anchor:top;mso-fit-shape-to-text:t;">
                <w:txbxContent>
                  <w:p>
                    <w:pPr>
                      <w:pStyle w:val="21"/>
                      <w:tabs>
                        <w:tab w:val="center" w:pos="4153"/>
                        <w:tab w:val="right" w:pos="8306"/>
                      </w:tabs>
                    </w:pPr>
                  </w:p>
                </w:txbxContent>
              </v:textbox>
            </v:shape>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591B0F2D"/>
    <w:multiLevelType w:val="singleLevel"/>
    <w:tmpl w:val="591B0F2D"/>
    <w:lvl w:ilvl="0">
      <w:start w:val="1"/>
      <w:numFmt w:val="chineseCounting"/>
      <w:lvlRestart w:val="0"/>
      <w:suff w:val="nothing"/>
      <w:lvlText w:val="%1、"/>
      <w:lvlJc w:val="left"/>
      <w:pPr>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6"/>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6"/>
    <w:pPr>
      <w:widowControl w:val="0"/>
      <w:jc w:val="both"/>
    </w:pPr>
    <w:rPr>
      <w:rFonts w:ascii="Calibri" w:eastAsia="宋体" w:cs="Times New Roman"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next w:val="17"/>
    <w:rPr>
      <w:sz w:val="18"/>
      <w:szCs w:val="28"/>
    </w:rPr>
  </w:style>
  <w:style w:type="paragraph" w:styleId="16">
    <w:name w:val="Body Text First Indent"/>
    <w:basedOn w:val="15"/>
    <w:pPr>
      <w:spacing w:after="120"/>
      <w:ind w:firstLineChars="100" w:firstLine="100"/>
    </w:pPr>
    <w:rPr>
      <w:sz w:val="21"/>
      <w:szCs w:val="24"/>
    </w:rPr>
  </w:style>
  <w:style w:type="paragraph" w:customStyle="1" w:styleId="17">
    <w:name w:val="默认段落"/>
    <w:basedOn w:val="0"/>
    <w:pPr>
      <w:topLinePunct w:val="0"/>
    </w:pPr>
  </w:style>
  <w:style w:type="paragraph" w:styleId="18">
    <w:name w:val="Normal Indent"/>
    <w:basedOn w:val="0"/>
    <w:next w:val="19"/>
    <w:pPr>
      <w:ind w:firstLine="420"/>
    </w:pPr>
  </w:style>
  <w:style w:type="paragraph" w:styleId="19">
    <w:name w:val="toc 1"/>
    <w:basedOn w:val="0"/>
    <w:next w:val="0"/>
  </w:style>
  <w:style w:type="paragraph" w:styleId="20">
    <w:name w:val="Plain Text"/>
    <w:basedOn w:val="0"/>
    <w:rPr>
      <w:rFonts w:ascii="宋体" w:cs="Courier New"/>
      <w:szCs w:val="21"/>
    </w:rPr>
  </w:style>
  <w:style w:type="paragraph" w:styleId="21">
    <w:name w:val="footer"/>
    <w:basedOn w:val="0"/>
    <w:pPr>
      <w:tabs>
        <w:tab w:val="center" w:pos="4153"/>
        <w:tab w:val="right" w:pos="8306"/>
      </w:tabs>
      <w:snapToGrid w:val="0"/>
      <w:jc w:val="left"/>
    </w:pPr>
    <w:rPr>
      <w:sz w:val="18"/>
    </w:rPr>
  </w:style>
  <w:style w:type="paragraph" w:styleId="22">
    <w:name w:val="header"/>
    <w:basedOn w:val="0"/>
    <w:pPr>
      <w:pBdr>
        <w:bottom w:val="single" w:sz="6" w:space="1" w:color="auto"/>
      </w:pBdr>
      <w:tabs>
        <w:tab w:val="center" w:pos="4153"/>
        <w:tab w:val="right" w:pos="8306"/>
      </w:tabs>
      <w:snapToGrid w:val="0"/>
      <w:jc w:val="center"/>
    </w:pPr>
    <w:rPr>
      <w:sz w:val="18"/>
      <w:szCs w:val="18"/>
    </w:rPr>
  </w:style>
  <w:style w:type="character" w:styleId="23">
    <w:name w:val="Strong"/>
    <w:basedOn w:val="10"/>
    <w:rPr>
      <w:b/>
    </w:rPr>
  </w:style>
  <w:style w:type="character" w:customStyle="1" w:styleId="24">
    <w:name w:val="qowt-font4-gb2312"/>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691</TotalTime>
  <Application>Yozo_Office27021597764231179</Application>
  <Pages>6</Pages>
  <Words>2992</Words>
  <Characters>3143</Characters>
  <Lines>126</Lines>
  <Paragraphs>25</Paragraphs>
  <CharactersWithSpaces>3149</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雯</dc:creator>
  <cp:lastModifiedBy>dell</cp:lastModifiedBy>
  <cp:revision>353</cp:revision>
  <cp:lastPrinted>2021-03-22T09:10:00Z</cp:lastPrinted>
  <dcterms:created xsi:type="dcterms:W3CDTF">2020-12-16T06:31:00Z</dcterms:created>
  <dcterms:modified xsi:type="dcterms:W3CDTF">2022-01-07T08:19:10Z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2052-11.1.0.10502</vt:lpwstr>
  </property>
  <property fmtid="{D5CDD505-2E9C-101B-9397-08002B2CF9AE}" pid="3" name="ICV">
    <vt:lpwstr>AC57DD210C57429B8AB02D601FBC16AB</vt:lpwstr>
  </property>
</Properties>
</file>